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911" w14:textId="7FBB7F5B" w:rsidR="001B2BC2" w:rsidRPr="00E202D4" w:rsidRDefault="671485FB" w:rsidP="00E617C7">
      <w:pPr>
        <w:pBdr>
          <w:bottom w:val="single" w:sz="4" w:space="1" w:color="auto"/>
        </w:pBdr>
        <w:jc w:val="center"/>
        <w:rPr>
          <w:b/>
          <w:lang w:val="nl-NL"/>
        </w:rPr>
      </w:pPr>
      <w:r w:rsidRPr="00E202D4">
        <w:rPr>
          <w:b/>
          <w:lang w:val="nl-NL"/>
        </w:rPr>
        <w:t xml:space="preserve">VRAGEN BIJ </w:t>
      </w:r>
      <w:r w:rsidR="009D3591">
        <w:rPr>
          <w:b/>
          <w:lang w:val="nl-NL"/>
        </w:rPr>
        <w:t>NOTA BOEKHOUDKUNDIGE VERWERKING + CONTROLE STAATSSTEUN MBT</w:t>
      </w:r>
      <w:r w:rsidRPr="00E202D4">
        <w:rPr>
          <w:b/>
          <w:lang w:val="nl-NL"/>
        </w:rPr>
        <w:t xml:space="preserve"> INSTANDHOUDINGSFORFAIT EN STRATEGISCH FORFAIT ZIEKENHUIZEN</w:t>
      </w:r>
      <w:r w:rsidR="00CB09CB">
        <w:rPr>
          <w:b/>
          <w:lang w:val="nl-NL"/>
        </w:rPr>
        <w:t xml:space="preserve"> – </w:t>
      </w:r>
      <w:r w:rsidR="002E2DCB">
        <w:rPr>
          <w:b/>
          <w:lang w:val="nl-NL"/>
        </w:rPr>
        <w:t>Laatst bijgewerkt op:</w:t>
      </w:r>
      <w:r w:rsidR="00CB09CB">
        <w:rPr>
          <w:b/>
          <w:lang w:val="nl-NL"/>
        </w:rPr>
        <w:t xml:space="preserve"> </w:t>
      </w:r>
      <w:r w:rsidR="006B0A95">
        <w:rPr>
          <w:b/>
          <w:lang w:val="nl-NL"/>
        </w:rPr>
        <w:t>1</w:t>
      </w:r>
      <w:r w:rsidR="00776C5E">
        <w:rPr>
          <w:b/>
          <w:lang w:val="nl-NL"/>
        </w:rPr>
        <w:t>7</w:t>
      </w:r>
      <w:r w:rsidR="00A74693">
        <w:rPr>
          <w:b/>
          <w:lang w:val="nl-NL"/>
        </w:rPr>
        <w:t>/</w:t>
      </w:r>
      <w:r w:rsidR="003A2380">
        <w:rPr>
          <w:b/>
          <w:lang w:val="nl-NL"/>
        </w:rPr>
        <w:t>03</w:t>
      </w:r>
      <w:r w:rsidR="00A74693">
        <w:rPr>
          <w:b/>
          <w:lang w:val="nl-NL"/>
        </w:rPr>
        <w:t>/202</w:t>
      </w:r>
      <w:r w:rsidR="003A2380">
        <w:rPr>
          <w:b/>
          <w:lang w:val="nl-NL"/>
        </w:rPr>
        <w:t>3</w:t>
      </w:r>
    </w:p>
    <w:p w14:paraId="0A37501D" w14:textId="31BD24CF" w:rsidR="001B2BC2" w:rsidRPr="00453E61" w:rsidRDefault="007C7D31" w:rsidP="001B2BC2">
      <w:pPr>
        <w:jc w:val="both"/>
        <w:rPr>
          <w:b/>
          <w:lang w:val="nl-NL"/>
        </w:rPr>
      </w:pPr>
      <w:r w:rsidRPr="00453E61">
        <w:rPr>
          <w:b/>
          <w:lang w:val="nl-NL"/>
        </w:rPr>
        <w:t>Algemene opmerking:</w:t>
      </w:r>
    </w:p>
    <w:p w14:paraId="4039DD3C" w14:textId="341BB28A" w:rsidR="007C7D31" w:rsidRPr="007C7D31" w:rsidRDefault="007C7D31" w:rsidP="007C7D31">
      <w:pPr>
        <w:jc w:val="both"/>
        <w:rPr>
          <w:lang w:val="nl-NL"/>
        </w:rPr>
      </w:pPr>
      <w:r w:rsidRPr="007C7D31">
        <w:rPr>
          <w:lang w:val="nl-NL"/>
        </w:rPr>
        <w:t xml:space="preserve">Toestemming voor </w:t>
      </w:r>
      <w:r>
        <w:rPr>
          <w:lang w:val="nl-NL"/>
        </w:rPr>
        <w:t>opname van bepaalde kosten</w:t>
      </w:r>
      <w:r w:rsidRPr="007C7D31">
        <w:rPr>
          <w:lang w:val="nl-NL"/>
        </w:rPr>
        <w:t xml:space="preserve"> in de verantwoording voor de Europese controle </w:t>
      </w:r>
      <w:r w:rsidR="00453E61">
        <w:rPr>
          <w:lang w:val="nl-NL"/>
        </w:rPr>
        <w:t>staat los van het al dan niet subsidiëren via het instandhoudings- en/of strategisch forfait</w:t>
      </w:r>
      <w:r w:rsidRPr="007C7D31">
        <w:rPr>
          <w:lang w:val="nl-NL"/>
        </w:rPr>
        <w:t>.</w:t>
      </w:r>
      <w:r>
        <w:rPr>
          <w:lang w:val="nl-NL"/>
        </w:rPr>
        <w:t xml:space="preserve"> </w:t>
      </w:r>
    </w:p>
    <w:p w14:paraId="1929DBCF" w14:textId="60866171" w:rsidR="007C7D31" w:rsidRDefault="007C7D31" w:rsidP="001B2BC2">
      <w:pPr>
        <w:jc w:val="both"/>
        <w:rPr>
          <w:lang w:val="nl-NL"/>
        </w:rPr>
      </w:pPr>
    </w:p>
    <w:p w14:paraId="084B8256" w14:textId="77777777" w:rsidR="007C7D31" w:rsidRDefault="007C7D31" w:rsidP="001B2BC2">
      <w:pPr>
        <w:jc w:val="both"/>
        <w:rPr>
          <w:lang w:val="nl-NL"/>
        </w:rPr>
      </w:pPr>
    </w:p>
    <w:p w14:paraId="444D61E0" w14:textId="2033B4C3" w:rsidR="001B2BC2" w:rsidRPr="00E617C7" w:rsidRDefault="197A6586" w:rsidP="00E617C7">
      <w:pPr>
        <w:pStyle w:val="Lijstalinea"/>
        <w:numPr>
          <w:ilvl w:val="0"/>
          <w:numId w:val="8"/>
        </w:numPr>
        <w:ind w:left="426" w:hanging="426"/>
        <w:jc w:val="both"/>
        <w:rPr>
          <w:rFonts w:cs="Times New Roman"/>
          <w:b/>
          <w:lang w:val="nl-NL"/>
        </w:rPr>
      </w:pPr>
      <w:r w:rsidRPr="00E617C7">
        <w:rPr>
          <w:rFonts w:cs="Times New Roman"/>
          <w:b/>
          <w:lang w:val="nl-NL"/>
        </w:rPr>
        <w:t xml:space="preserve">Begrijp ik het goed dat, als je in jaar N een overschot hebt op het instandhoudingsforfait, maar je kan in het </w:t>
      </w:r>
      <w:r w:rsidRPr="00E617C7">
        <w:rPr>
          <w:rFonts w:cs="Times New Roman"/>
          <w:b/>
          <w:i/>
          <w:iCs/>
          <w:u w:val="single"/>
          <w:lang w:val="nl-NL"/>
        </w:rPr>
        <w:t>aanwendingsplan</w:t>
      </w:r>
      <w:r w:rsidRPr="00E617C7">
        <w:rPr>
          <w:rFonts w:cs="Times New Roman"/>
          <w:b/>
          <w:lang w:val="nl-NL"/>
        </w:rPr>
        <w:t xml:space="preserve"> aantonen dat er in N+1/+2 een zeer grote kost aankomt, dat dit kan dienen als </w:t>
      </w:r>
      <w:r w:rsidRPr="00E617C7">
        <w:rPr>
          <w:rFonts w:cs="Times New Roman"/>
          <w:b/>
          <w:i/>
          <w:iCs/>
          <w:u w:val="single"/>
          <w:lang w:val="nl-NL"/>
        </w:rPr>
        <w:t>motivatie aan de VL.O.om niet een deel (dat buiten de reservevorming valt) van</w:t>
      </w:r>
      <w:r w:rsidRPr="00E617C7">
        <w:rPr>
          <w:rFonts w:cs="Times New Roman"/>
          <w:b/>
          <w:lang w:val="nl-NL"/>
        </w:rPr>
        <w:t xml:space="preserve"> </w:t>
      </w:r>
      <w:r w:rsidRPr="00E617C7">
        <w:rPr>
          <w:rFonts w:cs="Times New Roman"/>
          <w:b/>
          <w:i/>
          <w:iCs/>
          <w:u w:val="single"/>
          <w:lang w:val="nl-NL"/>
        </w:rPr>
        <w:t>het instandh</w:t>
      </w:r>
      <w:r w:rsidR="00D70301" w:rsidRPr="00E617C7">
        <w:rPr>
          <w:rFonts w:cs="Times New Roman"/>
          <w:b/>
          <w:i/>
          <w:iCs/>
          <w:u w:val="single"/>
          <w:lang w:val="nl-NL"/>
        </w:rPr>
        <w:t>oudings</w:t>
      </w:r>
      <w:r w:rsidRPr="00E617C7">
        <w:rPr>
          <w:rFonts w:cs="Times New Roman"/>
          <w:b/>
          <w:i/>
          <w:iCs/>
          <w:u w:val="single"/>
          <w:lang w:val="nl-NL"/>
        </w:rPr>
        <w:t>forfait</w:t>
      </w:r>
      <w:r w:rsidRPr="00E617C7">
        <w:rPr>
          <w:rFonts w:cs="Times New Roman"/>
          <w:b/>
          <w:lang w:val="nl-NL"/>
        </w:rPr>
        <w:t xml:space="preserve"> te moeten terugstorten?  Begrijp ik het goed dat kosten, geboekt onder klasse 61 ENKEL worden meegenomen, als er in het verleden een voorziening is voor aangelegd? </w:t>
      </w:r>
    </w:p>
    <w:p w14:paraId="5305F24D" w14:textId="54B283A3" w:rsidR="197A6586" w:rsidRDefault="197A6586" w:rsidP="197A6586">
      <w:pPr>
        <w:ind w:left="360"/>
        <w:jc w:val="both"/>
        <w:rPr>
          <w:rFonts w:cs="Times New Roman"/>
          <w:lang w:val="nl-NL"/>
        </w:rPr>
      </w:pPr>
    </w:p>
    <w:p w14:paraId="5F70EFF6" w14:textId="6E09DAA1" w:rsidR="00673D93" w:rsidRPr="00E202D4" w:rsidRDefault="00673D93" w:rsidP="00E617C7">
      <w:pPr>
        <w:ind w:left="426"/>
        <w:jc w:val="both"/>
        <w:rPr>
          <w:rFonts w:cs="Times New Roman"/>
          <w:b/>
          <w:lang w:val="nl-NL"/>
        </w:rPr>
      </w:pPr>
      <w:r w:rsidRPr="00E202D4">
        <w:rPr>
          <w:rFonts w:cs="Times New Roman"/>
          <w:b/>
          <w:lang w:val="nl-NL"/>
        </w:rPr>
        <w:t xml:space="preserve">Antwoord: </w:t>
      </w:r>
    </w:p>
    <w:p w14:paraId="729DD2AF" w14:textId="0CCDD3BB" w:rsidR="00AF3F9A" w:rsidRDefault="00AF3F9A" w:rsidP="00AF3F9A">
      <w:pPr>
        <w:pStyle w:val="Lijstalinea"/>
        <w:numPr>
          <w:ilvl w:val="1"/>
          <w:numId w:val="1"/>
        </w:numPr>
        <w:jc w:val="both"/>
        <w:rPr>
          <w:rFonts w:cs="Times New Roman"/>
          <w:lang w:val="nl-NL"/>
        </w:rPr>
      </w:pPr>
      <w:r>
        <w:rPr>
          <w:rFonts w:cs="Times New Roman"/>
          <w:lang w:val="nl-NL"/>
        </w:rPr>
        <w:t>Indien u via een aanwendingsplan kan aantonen dat de overschotten op termijn worden weggewerkt, dient het overschot op de subsidie inderdaad niet terugbetaald</w:t>
      </w:r>
      <w:r w:rsidR="001213A3">
        <w:rPr>
          <w:rFonts w:cs="Times New Roman"/>
          <w:lang w:val="nl-NL"/>
        </w:rPr>
        <w:t xml:space="preserve"> volgens de Vlaamse controle op staatssteun</w:t>
      </w:r>
      <w:r>
        <w:rPr>
          <w:rFonts w:cs="Times New Roman"/>
          <w:lang w:val="nl-NL"/>
        </w:rPr>
        <w:t>.</w:t>
      </w:r>
      <w:r w:rsidR="001213A3">
        <w:rPr>
          <w:rFonts w:cs="Times New Roman"/>
          <w:lang w:val="nl-NL"/>
        </w:rPr>
        <w:t xml:space="preserve"> De Europese regelgeving omtrent controle op staatssteun is strikter en bijgevolg zullen bijkomende vragen gesteld worden indien nodig.</w:t>
      </w:r>
    </w:p>
    <w:p w14:paraId="2BA867D4" w14:textId="4D260C1D" w:rsidR="00AF3F9A" w:rsidRPr="008562E6" w:rsidRDefault="00AF3F9A" w:rsidP="00AF3F9A">
      <w:pPr>
        <w:pStyle w:val="Lijstalinea"/>
        <w:numPr>
          <w:ilvl w:val="1"/>
          <w:numId w:val="1"/>
        </w:numPr>
        <w:jc w:val="both"/>
        <w:rPr>
          <w:rFonts w:cs="Times New Roman"/>
          <w:lang w:val="nl-NL"/>
        </w:rPr>
      </w:pPr>
      <w:r>
        <w:rPr>
          <w:rFonts w:cs="Times New Roman"/>
          <w:lang w:val="nl-NL"/>
        </w:rPr>
        <w:t>Kosten onder de 61-rekening kunnen worden meegenomen in zoverre zij betrekking hebben op de verantwoorde aanwending van de toegekende forfait(s), enkel in zoverre die in de rapporteringsperiode voorkomen. De eventuele boeking onder de vorm van voorzieningen is daartoe geen vereiste.</w:t>
      </w:r>
    </w:p>
    <w:p w14:paraId="5DAB6C7B" w14:textId="77777777" w:rsidR="001B2BC2" w:rsidRPr="002936DD" w:rsidRDefault="001B2BC2" w:rsidP="002936DD">
      <w:pPr>
        <w:jc w:val="both"/>
        <w:rPr>
          <w:rFonts w:cs="Times New Roman"/>
          <w:lang w:val="nl-NL"/>
        </w:rPr>
      </w:pPr>
    </w:p>
    <w:p w14:paraId="469DA957" w14:textId="79F68FD2" w:rsidR="006C39DE" w:rsidRPr="00E617C7" w:rsidRDefault="001B2BC2" w:rsidP="00E617C7">
      <w:pPr>
        <w:pStyle w:val="Lijstalinea"/>
        <w:numPr>
          <w:ilvl w:val="0"/>
          <w:numId w:val="8"/>
        </w:numPr>
        <w:ind w:left="426" w:hanging="426"/>
        <w:jc w:val="both"/>
        <w:rPr>
          <w:rFonts w:cs="Times New Roman"/>
          <w:b/>
          <w:lang w:val="nl-NL"/>
        </w:rPr>
      </w:pPr>
      <w:r w:rsidRPr="00E617C7">
        <w:rPr>
          <w:rFonts w:cs="Times New Roman"/>
          <w:b/>
          <w:lang w:val="nl-NL"/>
        </w:rPr>
        <w:t xml:space="preserve">Mogen wij besluiten dat de aanwending van de </w:t>
      </w:r>
      <w:r w:rsidR="007B57E5">
        <w:rPr>
          <w:rFonts w:cs="Times New Roman"/>
          <w:b/>
          <w:lang w:val="nl-NL"/>
        </w:rPr>
        <w:t>VIPA</w:t>
      </w:r>
      <w:r w:rsidRPr="00E617C7">
        <w:rPr>
          <w:rFonts w:cs="Times New Roman"/>
          <w:b/>
          <w:lang w:val="nl-NL"/>
        </w:rPr>
        <w:t xml:space="preserve">-financiering (gebruikstoelagen, strategisch </w:t>
      </w:r>
      <w:r w:rsidR="00824A23">
        <w:rPr>
          <w:rFonts w:cs="Times New Roman"/>
          <w:b/>
          <w:lang w:val="nl-NL"/>
        </w:rPr>
        <w:t>en</w:t>
      </w:r>
      <w:r w:rsidRPr="00E617C7">
        <w:rPr>
          <w:rFonts w:cs="Times New Roman"/>
          <w:b/>
          <w:lang w:val="nl-NL"/>
        </w:rPr>
        <w:t xml:space="preserve"> instandhoudingsforfait) over een periode van 4 jaar gecontroleerd zal worden a</w:t>
      </w:r>
      <w:r w:rsidR="00EB1878">
        <w:rPr>
          <w:rFonts w:cs="Times New Roman"/>
          <w:b/>
          <w:lang w:val="nl-NL"/>
        </w:rPr>
        <w:t>.</w:t>
      </w:r>
      <w:r w:rsidRPr="00E617C7">
        <w:rPr>
          <w:rFonts w:cs="Times New Roman"/>
          <w:b/>
          <w:lang w:val="nl-NL"/>
        </w:rPr>
        <w:t>d</w:t>
      </w:r>
      <w:r w:rsidR="007B57E5">
        <w:rPr>
          <w:rFonts w:cs="Times New Roman"/>
          <w:b/>
          <w:lang w:val="nl-NL"/>
        </w:rPr>
        <w:t>.</w:t>
      </w:r>
      <w:r w:rsidRPr="00E617C7">
        <w:rPr>
          <w:rFonts w:cs="Times New Roman"/>
          <w:b/>
          <w:lang w:val="nl-NL"/>
        </w:rPr>
        <w:t>h</w:t>
      </w:r>
      <w:r w:rsidR="007B57E5">
        <w:rPr>
          <w:rFonts w:cs="Times New Roman"/>
          <w:b/>
          <w:lang w:val="nl-NL"/>
        </w:rPr>
        <w:t>.</w:t>
      </w:r>
      <w:r w:rsidRPr="00E617C7">
        <w:rPr>
          <w:rFonts w:cs="Times New Roman"/>
          <w:b/>
          <w:lang w:val="nl-NL"/>
        </w:rPr>
        <w:t>v</w:t>
      </w:r>
      <w:r w:rsidR="007B57E5">
        <w:rPr>
          <w:rFonts w:cs="Times New Roman"/>
          <w:b/>
          <w:lang w:val="nl-NL"/>
        </w:rPr>
        <w:t>.</w:t>
      </w:r>
      <w:r w:rsidRPr="00E617C7">
        <w:rPr>
          <w:rFonts w:cs="Times New Roman"/>
          <w:b/>
          <w:lang w:val="nl-NL"/>
        </w:rPr>
        <w:t xml:space="preserve"> de controlefiche.  Wanneer de volledige financiering niet aangewend werd, is er een reservevorming mogelijk op voorwaarde van de opmaak </w:t>
      </w:r>
      <w:r w:rsidR="007B57E5">
        <w:rPr>
          <w:rFonts w:cs="Times New Roman"/>
          <w:b/>
          <w:lang w:val="nl-NL"/>
        </w:rPr>
        <w:t>en</w:t>
      </w:r>
      <w:r w:rsidRPr="00E617C7">
        <w:rPr>
          <w:rFonts w:cs="Times New Roman"/>
          <w:b/>
          <w:lang w:val="nl-NL"/>
        </w:rPr>
        <w:t xml:space="preserve"> </w:t>
      </w:r>
      <w:r w:rsidRPr="00E617C7">
        <w:rPr>
          <w:rFonts w:cs="Times New Roman"/>
          <w:b/>
          <w:u w:val="single"/>
          <w:lang w:val="nl-NL"/>
        </w:rPr>
        <w:t>aanvaarding</w:t>
      </w:r>
      <w:r w:rsidRPr="00E617C7">
        <w:rPr>
          <w:rFonts w:cs="Times New Roman"/>
          <w:b/>
          <w:lang w:val="nl-NL"/>
        </w:rPr>
        <w:t xml:space="preserve"> van een aanwendingsplan ? </w:t>
      </w:r>
    </w:p>
    <w:p w14:paraId="3BCE57AE" w14:textId="77777777" w:rsidR="006C39DE" w:rsidRDefault="006C39DE" w:rsidP="006C39DE">
      <w:pPr>
        <w:pStyle w:val="Lijstalinea"/>
        <w:jc w:val="both"/>
        <w:rPr>
          <w:rFonts w:cs="Times New Roman"/>
          <w:lang w:val="nl-NL"/>
        </w:rPr>
      </w:pPr>
    </w:p>
    <w:p w14:paraId="40DDFF75" w14:textId="77777777" w:rsidR="006C39DE" w:rsidRPr="00E202D4" w:rsidRDefault="006C39DE" w:rsidP="00E617C7">
      <w:pPr>
        <w:pStyle w:val="Lijstalinea"/>
        <w:ind w:left="426"/>
        <w:jc w:val="both"/>
        <w:rPr>
          <w:rFonts w:cs="Times New Roman"/>
          <w:b/>
          <w:lang w:val="nl-NL"/>
        </w:rPr>
      </w:pPr>
      <w:r w:rsidRPr="00E202D4">
        <w:rPr>
          <w:rFonts w:cs="Times New Roman"/>
          <w:b/>
          <w:lang w:val="nl-NL"/>
        </w:rPr>
        <w:t>Antwoord:</w:t>
      </w:r>
    </w:p>
    <w:p w14:paraId="113C038A" w14:textId="5FC9951F" w:rsidR="00AF3F9A" w:rsidRDefault="00DF37BD" w:rsidP="00AF3F9A">
      <w:pPr>
        <w:pStyle w:val="Lijstalinea"/>
        <w:numPr>
          <w:ilvl w:val="1"/>
          <w:numId w:val="1"/>
        </w:numPr>
        <w:jc w:val="both"/>
        <w:rPr>
          <w:rFonts w:cs="Times New Roman"/>
          <w:lang w:val="nl-NL"/>
        </w:rPr>
      </w:pPr>
      <w:r>
        <w:rPr>
          <w:rFonts w:cs="Times New Roman"/>
          <w:lang w:val="nl-NL"/>
        </w:rPr>
        <w:t xml:space="preserve">De controleperiode </w:t>
      </w:r>
      <w:r w:rsidR="00A55DD5">
        <w:rPr>
          <w:rFonts w:cs="Times New Roman"/>
          <w:lang w:val="nl-NL"/>
        </w:rPr>
        <w:t>betreft telkens 3 jaren</w:t>
      </w:r>
      <w:r w:rsidR="00AC4F34">
        <w:rPr>
          <w:rFonts w:cs="Times New Roman"/>
          <w:lang w:val="nl-NL"/>
        </w:rPr>
        <w:t>.</w:t>
      </w:r>
    </w:p>
    <w:p w14:paraId="4660839F" w14:textId="6DF454C1" w:rsidR="00AF3F9A" w:rsidRPr="00A20B91" w:rsidRDefault="00AF3F9A" w:rsidP="00AF3F9A">
      <w:pPr>
        <w:pStyle w:val="Lijstalinea"/>
        <w:numPr>
          <w:ilvl w:val="1"/>
          <w:numId w:val="1"/>
        </w:numPr>
        <w:jc w:val="both"/>
        <w:rPr>
          <w:rFonts w:cs="Times New Roman"/>
          <w:lang w:val="nl-NL"/>
        </w:rPr>
      </w:pPr>
      <w:r w:rsidRPr="00A20B91">
        <w:rPr>
          <w:rFonts w:cs="Times New Roman"/>
          <w:lang w:val="nl-NL"/>
        </w:rPr>
        <w:t>Indien dit</w:t>
      </w:r>
      <w:r>
        <w:rPr>
          <w:rFonts w:cs="Times New Roman"/>
          <w:lang w:val="nl-NL"/>
        </w:rPr>
        <w:t xml:space="preserve"> saldo</w:t>
      </w:r>
      <w:r w:rsidRPr="00A20B91">
        <w:rPr>
          <w:rFonts w:cs="Times New Roman"/>
          <w:lang w:val="nl-NL"/>
        </w:rPr>
        <w:t xml:space="preserve"> positief en </w:t>
      </w:r>
      <w:r>
        <w:rPr>
          <w:rFonts w:cs="Times New Roman"/>
          <w:lang w:val="nl-NL"/>
        </w:rPr>
        <w:t>significant</w:t>
      </w:r>
      <w:r w:rsidRPr="00A20B91">
        <w:rPr>
          <w:rFonts w:cs="Times New Roman"/>
          <w:lang w:val="nl-NL"/>
        </w:rPr>
        <w:t xml:space="preserve"> is, zal nagegaan worden of het aanwendingsplan aantoont </w:t>
      </w:r>
      <w:r>
        <w:rPr>
          <w:rFonts w:cs="Times New Roman"/>
          <w:lang w:val="nl-NL"/>
        </w:rPr>
        <w:t>dat</w:t>
      </w:r>
      <w:r w:rsidRPr="00A20B91">
        <w:rPr>
          <w:rFonts w:cs="Times New Roman"/>
          <w:lang w:val="nl-NL"/>
        </w:rPr>
        <w:t xml:space="preserve"> het overschot in de toekomst wordt weggewerkt</w:t>
      </w:r>
      <w:r w:rsidR="001213A3">
        <w:rPr>
          <w:rFonts w:cs="Times New Roman"/>
          <w:lang w:val="nl-NL"/>
        </w:rPr>
        <w:t xml:space="preserve"> voor de Vlaamse controle op staatssteun</w:t>
      </w:r>
      <w:r>
        <w:rPr>
          <w:rFonts w:cs="Times New Roman"/>
          <w:lang w:val="nl-NL"/>
        </w:rPr>
        <w:t>.</w:t>
      </w:r>
      <w:r w:rsidR="001213A3">
        <w:rPr>
          <w:rFonts w:cs="Times New Roman"/>
          <w:lang w:val="nl-NL"/>
        </w:rPr>
        <w:t xml:space="preserve"> Voor de Europese controle op staatssteun zijn de regels strikter en zullen bijgevolg bijkomende vragen worden gesteld.</w:t>
      </w:r>
    </w:p>
    <w:p w14:paraId="7FA65754" w14:textId="77777777" w:rsidR="00AF3F9A" w:rsidRDefault="00AF3F9A" w:rsidP="00AF3F9A">
      <w:pPr>
        <w:pStyle w:val="Lijstalinea"/>
        <w:numPr>
          <w:ilvl w:val="1"/>
          <w:numId w:val="1"/>
        </w:numPr>
        <w:jc w:val="both"/>
        <w:rPr>
          <w:rFonts w:cs="Times New Roman"/>
          <w:lang w:val="nl-NL"/>
        </w:rPr>
      </w:pPr>
      <w:r>
        <w:rPr>
          <w:rFonts w:cs="Times New Roman"/>
          <w:lang w:val="nl-NL"/>
        </w:rPr>
        <w:t xml:space="preserve">Elk jaar zal in functie van de tussentijdse effectieve kosten het initieel goedgekeurde aanwendingsplan uiteraard </w:t>
      </w:r>
      <w:r w:rsidRPr="001B2BC2">
        <w:rPr>
          <w:rFonts w:cs="Times New Roman"/>
          <w:lang w:val="nl-NL"/>
        </w:rPr>
        <w:t> </w:t>
      </w:r>
      <w:r>
        <w:rPr>
          <w:rFonts w:cs="Times New Roman"/>
          <w:lang w:val="nl-NL"/>
        </w:rPr>
        <w:t>kunnen worden bijgesteld.</w:t>
      </w:r>
    </w:p>
    <w:p w14:paraId="62F0621E" w14:textId="77777777" w:rsidR="00A80D84" w:rsidRPr="001B2BC2" w:rsidRDefault="00A80D84" w:rsidP="006C39DE">
      <w:pPr>
        <w:pStyle w:val="Lijstalinea"/>
        <w:ind w:left="2160"/>
        <w:jc w:val="both"/>
        <w:rPr>
          <w:rFonts w:cs="Times New Roman"/>
          <w:lang w:val="nl-NL"/>
        </w:rPr>
      </w:pPr>
    </w:p>
    <w:p w14:paraId="13A5CC84" w14:textId="5630F677" w:rsidR="001B2BC2" w:rsidRPr="00E617C7" w:rsidRDefault="001B2BC2" w:rsidP="00E617C7">
      <w:pPr>
        <w:pStyle w:val="Lijstalinea"/>
        <w:numPr>
          <w:ilvl w:val="0"/>
          <w:numId w:val="8"/>
        </w:numPr>
        <w:ind w:left="426" w:hanging="426"/>
        <w:jc w:val="both"/>
        <w:rPr>
          <w:b/>
        </w:rPr>
      </w:pPr>
      <w:r w:rsidRPr="00E617C7">
        <w:rPr>
          <w:b/>
        </w:rPr>
        <w:t>Groot onderhoud dat rechtstreeks in kosten genomen werd (via AR 613xxx), dient deze voorafgegaan te worden door aanleg + terugname van voorzieningen om in aanmerking te komen als verantwoording van het instandhoudingsforfait ?  Met de komst van het instandhoudingsforfait hebben wij nl.  iets meer onmiddellijk in kosten genomen i</w:t>
      </w:r>
      <w:r w:rsidR="00715C4B">
        <w:rPr>
          <w:b/>
        </w:rPr>
        <w:t>.</w:t>
      </w:r>
      <w:r w:rsidRPr="00E617C7">
        <w:rPr>
          <w:b/>
        </w:rPr>
        <w:t>p</w:t>
      </w:r>
      <w:r w:rsidR="00715C4B">
        <w:rPr>
          <w:b/>
        </w:rPr>
        <w:t>.</w:t>
      </w:r>
      <w:r w:rsidRPr="00E617C7">
        <w:rPr>
          <w:b/>
        </w:rPr>
        <w:t>v</w:t>
      </w:r>
      <w:r w:rsidR="00715C4B">
        <w:rPr>
          <w:b/>
        </w:rPr>
        <w:t>.</w:t>
      </w:r>
      <w:r w:rsidRPr="00E617C7">
        <w:rPr>
          <w:b/>
        </w:rPr>
        <w:t xml:space="preserve"> te activeren, aangezien er tevoren sprake is geweest van een controle op kasbasis bij het instandhoudingsforfait.</w:t>
      </w:r>
    </w:p>
    <w:p w14:paraId="74445CE2" w14:textId="7DAC3732" w:rsidR="00871477" w:rsidRDefault="00871477" w:rsidP="00871477">
      <w:pPr>
        <w:pStyle w:val="Lijstalinea"/>
        <w:jc w:val="both"/>
      </w:pPr>
    </w:p>
    <w:p w14:paraId="1AC2323D" w14:textId="77777777" w:rsidR="006D14A2" w:rsidRDefault="006D14A2" w:rsidP="00E617C7">
      <w:pPr>
        <w:pStyle w:val="Lijstalinea"/>
        <w:ind w:left="426"/>
        <w:jc w:val="both"/>
        <w:rPr>
          <w:b/>
        </w:rPr>
      </w:pPr>
      <w:r>
        <w:rPr>
          <w:b/>
        </w:rPr>
        <w:br w:type="page"/>
      </w:r>
    </w:p>
    <w:p w14:paraId="2A6E8FAB" w14:textId="3C977DCF" w:rsidR="002936DD" w:rsidRPr="002936DD" w:rsidRDefault="00B170E0" w:rsidP="00E617C7">
      <w:pPr>
        <w:pStyle w:val="Lijstalinea"/>
        <w:ind w:left="426"/>
        <w:jc w:val="both"/>
        <w:rPr>
          <w:b/>
        </w:rPr>
      </w:pPr>
      <w:r w:rsidRPr="002936DD">
        <w:rPr>
          <w:b/>
        </w:rPr>
        <w:lastRenderedPageBreak/>
        <w:t>Antwoord:</w:t>
      </w:r>
      <w:r w:rsidR="00406509" w:rsidRPr="002936DD">
        <w:rPr>
          <w:b/>
        </w:rPr>
        <w:t xml:space="preserve"> </w:t>
      </w:r>
    </w:p>
    <w:p w14:paraId="6A05A809" w14:textId="6FCCF2B9" w:rsidR="001B2BC2" w:rsidRDefault="00AF3F9A" w:rsidP="001B2BC2">
      <w:pPr>
        <w:pStyle w:val="Lijstalinea"/>
        <w:jc w:val="both"/>
      </w:pPr>
      <w:r>
        <w:t>U mag de uitgaven onmiddellijk in de boekhouding genomen kosten opnemen. Dit staat los van de voorzieningen: of hiertoe al dan niet een voorziening is aangelegd, is niet relevant voor de aanvaarding als verantwoording.</w:t>
      </w:r>
    </w:p>
    <w:p w14:paraId="2488878A" w14:textId="77777777" w:rsidR="00AF3F9A" w:rsidRDefault="00AF3F9A" w:rsidP="001B2BC2">
      <w:pPr>
        <w:pStyle w:val="Lijstalinea"/>
        <w:jc w:val="both"/>
        <w:rPr>
          <w:rFonts w:cs="Times New Roman"/>
          <w:lang w:val="nl-NL"/>
        </w:rPr>
      </w:pPr>
    </w:p>
    <w:p w14:paraId="45BE22AC" w14:textId="64406FC3" w:rsidR="001B2BC2" w:rsidRPr="00E617C7" w:rsidRDefault="001B2BC2" w:rsidP="00E617C7">
      <w:pPr>
        <w:pStyle w:val="Lijstalinea"/>
        <w:numPr>
          <w:ilvl w:val="0"/>
          <w:numId w:val="8"/>
        </w:numPr>
        <w:ind w:left="426" w:hanging="426"/>
        <w:jc w:val="both"/>
        <w:rPr>
          <w:b/>
        </w:rPr>
      </w:pPr>
      <w:r w:rsidRPr="00E617C7">
        <w:rPr>
          <w:b/>
        </w:rPr>
        <w:t>Komen betaalde erfpachtvergoedingen in aanmerking voor het instandhoudingsforfait ?  Zo ja, wat zijn de voorwaarden hieraan verbonden ?</w:t>
      </w:r>
    </w:p>
    <w:p w14:paraId="170C8B12" w14:textId="3B5A3CCB" w:rsidR="00095EC1" w:rsidRDefault="00095EC1" w:rsidP="00095EC1">
      <w:pPr>
        <w:pStyle w:val="Lijstalinea"/>
        <w:jc w:val="both"/>
      </w:pPr>
    </w:p>
    <w:p w14:paraId="536360CC" w14:textId="08C21B48" w:rsidR="006A449C" w:rsidRPr="00A205CB" w:rsidRDefault="00D74960" w:rsidP="00E617C7">
      <w:pPr>
        <w:pStyle w:val="Lijstalinea"/>
        <w:ind w:left="426"/>
        <w:jc w:val="both"/>
        <w:rPr>
          <w:b/>
        </w:rPr>
      </w:pPr>
      <w:r w:rsidRPr="00A205CB">
        <w:rPr>
          <w:b/>
        </w:rPr>
        <w:t>Antwoord:</w:t>
      </w:r>
    </w:p>
    <w:p w14:paraId="5B39F797" w14:textId="303F8621" w:rsidR="00A20B91" w:rsidRPr="00A20B91" w:rsidRDefault="00A20B91" w:rsidP="00E617C7">
      <w:pPr>
        <w:ind w:left="426"/>
        <w:jc w:val="both"/>
      </w:pPr>
      <w:r w:rsidRPr="00A20B91">
        <w:t>Voor een volledig antwoord onderscheiden we 3 gevallen:</w:t>
      </w:r>
    </w:p>
    <w:p w14:paraId="1441F763" w14:textId="7CFAC4BB" w:rsidR="00AF3F9A" w:rsidRPr="00A20B91" w:rsidRDefault="00AF3F9A" w:rsidP="00AF3F9A">
      <w:pPr>
        <w:pStyle w:val="Lijstalinea"/>
        <w:numPr>
          <w:ilvl w:val="1"/>
          <w:numId w:val="1"/>
        </w:numPr>
        <w:jc w:val="both"/>
      </w:pPr>
      <w:r w:rsidRPr="00A20B91">
        <w:t xml:space="preserve">Casus 1: </w:t>
      </w:r>
      <w:r w:rsidR="00DE6C79">
        <w:t xml:space="preserve">de </w:t>
      </w:r>
      <w:r>
        <w:t>erfpachtvergoeding heeft uitsluitend betrekking op de grond. De erfpachtvergoeding komt niet in aanmerking als verantwoording voor het instandhoudingsforfait.</w:t>
      </w:r>
    </w:p>
    <w:p w14:paraId="7EBCC6C5" w14:textId="08664329" w:rsidR="00DE6C79" w:rsidRDefault="00AF3F9A" w:rsidP="00DE6C79">
      <w:pPr>
        <w:pStyle w:val="Lijstalinea"/>
        <w:numPr>
          <w:ilvl w:val="1"/>
          <w:numId w:val="1"/>
        </w:numPr>
        <w:jc w:val="both"/>
      </w:pPr>
      <w:r w:rsidRPr="00A20B91">
        <w:t xml:space="preserve">Casus 2: </w:t>
      </w:r>
      <w:r>
        <w:t xml:space="preserve">erfpachtvergoeding betreft </w:t>
      </w:r>
      <w:r w:rsidRPr="00A20B91">
        <w:t xml:space="preserve">grond </w:t>
      </w:r>
      <w:r>
        <w:t>met</w:t>
      </w:r>
      <w:r w:rsidRPr="00A20B91">
        <w:t xml:space="preserve"> gebouw </w:t>
      </w:r>
      <w:r>
        <w:t>dat</w:t>
      </w:r>
      <w:r w:rsidRPr="00A20B91">
        <w:t xml:space="preserve"> erop staat</w:t>
      </w:r>
      <w:r>
        <w:t xml:space="preserve">, waarbij de achterliggende assumptie dat het een </w:t>
      </w:r>
      <w:r w:rsidRPr="00A20B91">
        <w:t>bestaand gebouw</w:t>
      </w:r>
      <w:r>
        <w:t xml:space="preserve"> betreft dat</w:t>
      </w:r>
      <w:r w:rsidRPr="00A20B91">
        <w:t xml:space="preserve"> vanaf 2016 in gebruik</w:t>
      </w:r>
      <w:r>
        <w:t xml:space="preserve"> werd</w:t>
      </w:r>
      <w:r w:rsidRPr="00A20B91">
        <w:t xml:space="preserve"> genomen.</w:t>
      </w:r>
      <w:r w:rsidR="0098780D">
        <w:t xml:space="preserve"> </w:t>
      </w:r>
      <w:r w:rsidR="00DE6C79">
        <w:t>E</w:t>
      </w:r>
      <w:r>
        <w:t>nkel het deel onderhoudskosten in de erfpachtvergoeding komt in aanmerking voor instandhoudingsforfait in zoverre een</w:t>
      </w:r>
      <w:r w:rsidRPr="00A20B91">
        <w:t xml:space="preserve"> derde instaat voor de onderhoudskost </w:t>
      </w:r>
      <w:r>
        <w:t xml:space="preserve">en dit doorrekent (onderhoudskost = groot onderhoud, geen regulier jaarlijks onderhoud). De verrekening van de onderhoudskosten gebeurt op basis </w:t>
      </w:r>
      <w:r w:rsidRPr="00A20B91">
        <w:t>van de facturen van de derde partij.</w:t>
      </w:r>
      <w:r>
        <w:t xml:space="preserve"> Het ziekenhuis dient hierbij voldoende transparantie te kunnen geven in het verschaffen van detailinformatie.</w:t>
      </w:r>
    </w:p>
    <w:p w14:paraId="6333B7D6" w14:textId="0A08129A" w:rsidR="00DE6C79" w:rsidRPr="00A20B91" w:rsidRDefault="00DE6C79" w:rsidP="00DE6C79">
      <w:pPr>
        <w:pStyle w:val="Lijstalinea"/>
        <w:numPr>
          <w:ilvl w:val="1"/>
          <w:numId w:val="1"/>
        </w:numPr>
        <w:jc w:val="both"/>
      </w:pPr>
      <w:r>
        <w:t xml:space="preserve">Casus 3: de erfpachtvergoeding betreft de </w:t>
      </w:r>
      <w:r w:rsidRPr="00A20B91">
        <w:t xml:space="preserve">nieuwbouw </w:t>
      </w:r>
      <w:r>
        <w:t xml:space="preserve">waarvoor een </w:t>
      </w:r>
      <w:r w:rsidRPr="00A20B91">
        <w:t>strategisch forfait</w:t>
      </w:r>
      <w:r>
        <w:t xml:space="preserve"> wordt gevraagd. Deze erfpachtvergoeding komt in aanmerking.</w:t>
      </w:r>
    </w:p>
    <w:p w14:paraId="1DBE8755" w14:textId="77777777" w:rsidR="00095EC1" w:rsidRDefault="00095EC1" w:rsidP="00095EC1">
      <w:pPr>
        <w:pStyle w:val="Lijstalinea"/>
        <w:jc w:val="both"/>
      </w:pPr>
    </w:p>
    <w:p w14:paraId="07FDA3BA" w14:textId="4D9B256F" w:rsidR="0021244B" w:rsidRPr="00E617C7" w:rsidRDefault="00D74960" w:rsidP="00E617C7">
      <w:pPr>
        <w:pStyle w:val="Lijstalinea"/>
        <w:numPr>
          <w:ilvl w:val="0"/>
          <w:numId w:val="8"/>
        </w:numPr>
        <w:ind w:left="426" w:hanging="284"/>
        <w:rPr>
          <w:b/>
        </w:rPr>
      </w:pPr>
      <w:r w:rsidRPr="00E617C7">
        <w:rPr>
          <w:b/>
        </w:rPr>
        <w:t>Het ziekenhuis betaalt een marktconforme prijs voor de gronden en aanhorigheden. De aanhorigheden betreffen historische gebouwen. De marktconforme erfpacht vervangt de huurcomponent. Daarom lijkt het mij fair dat een deel van de zware kost onder het instandhoudingsforfait kan worden geschoven. Deels in die zin dat er ook niet-ziekenhuisactiviteiten in gehuisvest zijn.</w:t>
      </w:r>
    </w:p>
    <w:p w14:paraId="116AC097" w14:textId="3B6AC03B" w:rsidR="00153162" w:rsidRDefault="00153162" w:rsidP="00153162"/>
    <w:p w14:paraId="4FE78F0D" w14:textId="77777777" w:rsidR="00A205CB" w:rsidRPr="00A205CB" w:rsidRDefault="00D74960" w:rsidP="00E617C7">
      <w:pPr>
        <w:ind w:left="426"/>
        <w:rPr>
          <w:b/>
        </w:rPr>
      </w:pPr>
      <w:r w:rsidRPr="00A205CB">
        <w:rPr>
          <w:b/>
        </w:rPr>
        <w:t xml:space="preserve">Antwoord: </w:t>
      </w:r>
    </w:p>
    <w:p w14:paraId="1966F11A" w14:textId="41BFD39C" w:rsidR="00A315F3" w:rsidRDefault="00AF3F9A" w:rsidP="00E617C7">
      <w:pPr>
        <w:ind w:left="426"/>
      </w:pPr>
      <w:r w:rsidRPr="00D74960">
        <w:t xml:space="preserve">Indien </w:t>
      </w:r>
      <w:r>
        <w:t xml:space="preserve">het groot </w:t>
      </w:r>
      <w:r w:rsidRPr="00D74960">
        <w:t xml:space="preserve">onderhoud </w:t>
      </w:r>
      <w:r>
        <w:t xml:space="preserve">op deze gebouwen </w:t>
      </w:r>
      <w:r w:rsidRPr="00D74960">
        <w:t xml:space="preserve">zelf </w:t>
      </w:r>
      <w:r>
        <w:t>ten laste wordt genomen</w:t>
      </w:r>
      <w:r w:rsidRPr="00D74960">
        <w:t>, kan d</w:t>
      </w:r>
      <w:r>
        <w:t>e erfpachtvergoeding niet worden opgenomen onder het instandhoudingsforfait</w:t>
      </w:r>
      <w:r w:rsidR="00D74960">
        <w:t>.</w:t>
      </w:r>
    </w:p>
    <w:p w14:paraId="5A39BBE3" w14:textId="77777777" w:rsidR="001B2BC2" w:rsidRDefault="001B2BC2" w:rsidP="001B2BC2">
      <w:pPr>
        <w:pStyle w:val="Lijstalinea"/>
        <w:jc w:val="both"/>
        <w:rPr>
          <w:rFonts w:cs="Times New Roman"/>
          <w:lang w:val="nl-NL"/>
        </w:rPr>
      </w:pPr>
    </w:p>
    <w:p w14:paraId="6A619753" w14:textId="763D3AFD" w:rsidR="001B2BC2" w:rsidRPr="00E617C7" w:rsidRDefault="001B2BC2" w:rsidP="00E617C7">
      <w:pPr>
        <w:pStyle w:val="Lijstalinea"/>
        <w:numPr>
          <w:ilvl w:val="0"/>
          <w:numId w:val="13"/>
        </w:numPr>
        <w:ind w:left="426" w:hanging="284"/>
        <w:jc w:val="both"/>
        <w:rPr>
          <w:rFonts w:cs="Times New Roman"/>
          <w:b/>
          <w:lang w:val="nl-NL"/>
        </w:rPr>
      </w:pPr>
      <w:r w:rsidRPr="00E617C7">
        <w:rPr>
          <w:rFonts w:cs="Times New Roman"/>
          <w:b/>
          <w:lang w:val="nl-NL"/>
        </w:rPr>
        <w:t>In de nota (bijlage) op pag</w:t>
      </w:r>
      <w:r w:rsidR="00185E8E" w:rsidRPr="00E617C7">
        <w:rPr>
          <w:rFonts w:cs="Times New Roman"/>
          <w:b/>
          <w:lang w:val="nl-NL"/>
        </w:rPr>
        <w:t>.</w:t>
      </w:r>
      <w:r w:rsidRPr="00E617C7">
        <w:rPr>
          <w:rFonts w:cs="Times New Roman"/>
          <w:b/>
          <w:lang w:val="nl-NL"/>
        </w:rPr>
        <w:t xml:space="preserve"> 10 onderaan lees ik dat kosten onder de </w:t>
      </w:r>
      <w:r w:rsidRPr="00E617C7">
        <w:rPr>
          <w:rFonts w:cs="Times New Roman"/>
          <w:b/>
          <w:i/>
          <w:iCs/>
          <w:u w:val="single"/>
          <w:lang w:val="nl-NL"/>
        </w:rPr>
        <w:t>klasse 62</w:t>
      </w:r>
      <w:r w:rsidRPr="00E617C7">
        <w:rPr>
          <w:rFonts w:cs="Times New Roman"/>
          <w:b/>
          <w:lang w:val="nl-NL"/>
        </w:rPr>
        <w:t>”(lonen) worden meegenomen.</w:t>
      </w:r>
    </w:p>
    <w:p w14:paraId="5B89FB8F" w14:textId="19203E91" w:rsidR="001B2BC2" w:rsidRPr="00E617C7" w:rsidRDefault="001B2BC2" w:rsidP="00E617C7">
      <w:pPr>
        <w:pStyle w:val="Lijstalinea"/>
        <w:ind w:left="426"/>
        <w:jc w:val="both"/>
        <w:rPr>
          <w:rFonts w:cs="Times New Roman"/>
          <w:b/>
          <w:lang w:val="nl-NL"/>
        </w:rPr>
      </w:pPr>
      <w:r w:rsidRPr="00E617C7">
        <w:rPr>
          <w:rFonts w:cs="Times New Roman"/>
          <w:b/>
          <w:lang w:val="nl-NL"/>
        </w:rPr>
        <w:t xml:space="preserve">Aangezien we – historiek van ons ziekenhuis –een grotere technische ploeg hebben, doen wij inderdaad ook grote werken met eigen personeel. Deze kosten (besteding in uren * uurloon) worden de laatste jaren niet meer geactiveerd.  Deze kunnen dan ingeschoven worden in het instandhoudingsforfait?  Kunnen wij deze loonkost uitbreiden met bv. uurbesteding van de verantwoordelijke? Adviezen/opvolgen rond bouwen/verbouwen worden in het ziekenhuis ook deels uitbesteed aan een </w:t>
      </w:r>
      <w:proofErr w:type="spellStart"/>
      <w:r w:rsidRPr="00E617C7">
        <w:rPr>
          <w:rFonts w:cs="Times New Roman"/>
          <w:b/>
          <w:lang w:val="nl-NL"/>
        </w:rPr>
        <w:t>kostendelende</w:t>
      </w:r>
      <w:proofErr w:type="spellEnd"/>
      <w:r w:rsidRPr="00E617C7">
        <w:rPr>
          <w:rFonts w:cs="Times New Roman"/>
          <w:b/>
          <w:lang w:val="nl-NL"/>
        </w:rPr>
        <w:t xml:space="preserve"> vereniging. Deze laatste factureert haar diensten aan het ziekenhuis. Kan deze factuur ook mee ingeschoven worden in het instandhoudingsforfait?</w:t>
      </w:r>
    </w:p>
    <w:p w14:paraId="050CF56E" w14:textId="5D302BA4" w:rsidR="005736C0" w:rsidRDefault="005736C0" w:rsidP="00E617C7">
      <w:pPr>
        <w:pStyle w:val="Lijstalinea"/>
        <w:ind w:left="426"/>
        <w:jc w:val="both"/>
        <w:rPr>
          <w:rFonts w:cs="Times New Roman"/>
          <w:lang w:val="nl-NL"/>
        </w:rPr>
      </w:pPr>
    </w:p>
    <w:p w14:paraId="3EB33567" w14:textId="77777777" w:rsidR="00D1393E" w:rsidRDefault="00D1393E" w:rsidP="00E617C7">
      <w:pPr>
        <w:pStyle w:val="Lijstalinea"/>
        <w:ind w:left="426"/>
        <w:jc w:val="both"/>
        <w:rPr>
          <w:rFonts w:cs="Times New Roman"/>
          <w:b/>
          <w:lang w:val="nl-NL"/>
        </w:rPr>
        <w:sectPr w:rsidR="00D1393E">
          <w:headerReference w:type="default" r:id="rId11"/>
          <w:footerReference w:type="default" r:id="rId12"/>
          <w:pgSz w:w="11906" w:h="16838"/>
          <w:pgMar w:top="1417" w:right="1417" w:bottom="1417" w:left="1417" w:header="708" w:footer="708" w:gutter="0"/>
          <w:cols w:space="708"/>
          <w:docGrid w:linePitch="360"/>
        </w:sectPr>
      </w:pPr>
    </w:p>
    <w:p w14:paraId="1C0712A4" w14:textId="7DFEF7C8" w:rsidR="005736C0" w:rsidRPr="003D21BF" w:rsidRDefault="005736C0" w:rsidP="00E617C7">
      <w:pPr>
        <w:pStyle w:val="Lijstalinea"/>
        <w:ind w:left="426"/>
        <w:jc w:val="both"/>
        <w:rPr>
          <w:rFonts w:cs="Times New Roman"/>
          <w:b/>
          <w:lang w:val="nl-NL"/>
        </w:rPr>
      </w:pPr>
      <w:r w:rsidRPr="003D21BF">
        <w:rPr>
          <w:rFonts w:cs="Times New Roman"/>
          <w:b/>
          <w:lang w:val="nl-NL"/>
        </w:rPr>
        <w:lastRenderedPageBreak/>
        <w:t>Antwoord:</w:t>
      </w:r>
    </w:p>
    <w:p w14:paraId="7BECA733" w14:textId="77777777" w:rsidR="00AF3F9A" w:rsidRDefault="00AF3F9A" w:rsidP="00AF3F9A">
      <w:pPr>
        <w:pStyle w:val="Lijstalinea"/>
        <w:numPr>
          <w:ilvl w:val="1"/>
          <w:numId w:val="13"/>
        </w:numPr>
        <w:jc w:val="both"/>
        <w:rPr>
          <w:rFonts w:cs="Times New Roman"/>
          <w:lang w:val="nl-NL"/>
        </w:rPr>
      </w:pPr>
      <w:r>
        <w:rPr>
          <w:rFonts w:cs="Times New Roman"/>
          <w:lang w:val="nl-NL"/>
        </w:rPr>
        <w:t>Alle aan een investering toewijsbare kosten kunnen (na eventuele versleuteling) worden opgenomen.</w:t>
      </w:r>
    </w:p>
    <w:p w14:paraId="40D7581F" w14:textId="77777777" w:rsidR="00AF3F9A" w:rsidRDefault="00AF3F9A" w:rsidP="00AF3F9A">
      <w:pPr>
        <w:pStyle w:val="Lijstalinea"/>
        <w:numPr>
          <w:ilvl w:val="1"/>
          <w:numId w:val="13"/>
        </w:numPr>
        <w:jc w:val="both"/>
        <w:rPr>
          <w:rFonts w:cs="Times New Roman"/>
          <w:lang w:val="nl-NL"/>
        </w:rPr>
      </w:pPr>
      <w:r>
        <w:rPr>
          <w:rFonts w:cs="Times New Roman"/>
          <w:lang w:val="nl-NL"/>
        </w:rPr>
        <w:t>De factuur voor diensten kan onder de 61-rekening worden ingebracht in zoverre zij betrekking hebben op de ziekenhuisinfrastructuur.</w:t>
      </w:r>
    </w:p>
    <w:p w14:paraId="205C7C33" w14:textId="034315CB" w:rsidR="00AF3F9A" w:rsidRDefault="00AF3F9A" w:rsidP="00AF3F9A">
      <w:pPr>
        <w:pStyle w:val="Lijstalinea"/>
        <w:numPr>
          <w:ilvl w:val="1"/>
          <w:numId w:val="13"/>
        </w:numPr>
        <w:jc w:val="both"/>
        <w:rPr>
          <w:rFonts w:cs="Times New Roman"/>
          <w:lang w:val="nl-NL"/>
        </w:rPr>
      </w:pPr>
      <w:r>
        <w:rPr>
          <w:rFonts w:cs="Times New Roman"/>
          <w:lang w:val="nl-NL"/>
        </w:rPr>
        <w:t>De toerekening van de eigen ploeg moet goed verantwoord worden. Die kost dient extracomptabel bijgehouden worden zodat zij transparant kan worden afgezonderd (materiaal + uurloon).</w:t>
      </w:r>
    </w:p>
    <w:p w14:paraId="3FA7B429" w14:textId="77777777" w:rsidR="00AF3F9A" w:rsidRDefault="00AF3F9A" w:rsidP="00AF3F9A">
      <w:pPr>
        <w:pStyle w:val="Lijstalinea"/>
        <w:ind w:left="1440"/>
        <w:jc w:val="both"/>
        <w:rPr>
          <w:rFonts w:cs="Times New Roman"/>
          <w:lang w:val="nl-NL"/>
        </w:rPr>
      </w:pPr>
    </w:p>
    <w:p w14:paraId="6522EFDA" w14:textId="77777777" w:rsidR="008D7C3B" w:rsidRPr="00E617C7" w:rsidRDefault="008D7C3B" w:rsidP="00E617C7">
      <w:pPr>
        <w:pStyle w:val="Lijstalinea"/>
        <w:numPr>
          <w:ilvl w:val="0"/>
          <w:numId w:val="13"/>
        </w:numPr>
        <w:ind w:left="426" w:hanging="426"/>
        <w:jc w:val="both"/>
        <w:rPr>
          <w:b/>
        </w:rPr>
      </w:pPr>
      <w:r w:rsidRPr="00E617C7">
        <w:rPr>
          <w:b/>
        </w:rPr>
        <w:t>Onder welke voorwaarden kunnen personeelskosten (klasse 62) gebruikt worden om het instandhoudingsforfait te verantwoorden ?</w:t>
      </w:r>
    </w:p>
    <w:p w14:paraId="085861C7" w14:textId="77777777" w:rsidR="008D7C3B" w:rsidRDefault="008D7C3B" w:rsidP="008D7C3B">
      <w:pPr>
        <w:pStyle w:val="Lijstalinea"/>
        <w:jc w:val="both"/>
      </w:pPr>
    </w:p>
    <w:p w14:paraId="41ABD221" w14:textId="77777777" w:rsidR="008D7C3B" w:rsidRPr="003D21BF" w:rsidRDefault="008D7C3B" w:rsidP="00E617C7">
      <w:pPr>
        <w:pStyle w:val="Lijstalinea"/>
        <w:ind w:left="284" w:firstLine="142"/>
        <w:jc w:val="both"/>
        <w:rPr>
          <w:b/>
        </w:rPr>
      </w:pPr>
      <w:r w:rsidRPr="003D21BF">
        <w:rPr>
          <w:b/>
        </w:rPr>
        <w:t>Antwoord</w:t>
      </w:r>
    </w:p>
    <w:p w14:paraId="56B30D3C" w14:textId="17584E85" w:rsidR="00AF3F9A" w:rsidRDefault="00AF3F9A" w:rsidP="00AF3F9A">
      <w:pPr>
        <w:pStyle w:val="Lijstalinea"/>
        <w:numPr>
          <w:ilvl w:val="1"/>
          <w:numId w:val="2"/>
        </w:numPr>
        <w:jc w:val="both"/>
      </w:pPr>
      <w:r>
        <w:t>Enkel in zoverre dat de personeelskosten betrekking hebben op de betrokken projecten, m.a.w. technisch personeel + aansturing dat voor groot onderhoud, andere investeringen of installatie van projecten wordt ingezet</w:t>
      </w:r>
    </w:p>
    <w:p w14:paraId="31C8F6E5" w14:textId="77777777" w:rsidR="00453E61" w:rsidRDefault="00453E61" w:rsidP="00453E61">
      <w:pPr>
        <w:pStyle w:val="Lijstalinea"/>
        <w:ind w:left="1440"/>
        <w:jc w:val="both"/>
      </w:pPr>
    </w:p>
    <w:p w14:paraId="1A9347BB" w14:textId="0DE14D1F" w:rsidR="00037E5F" w:rsidRPr="001C01C4" w:rsidRDefault="001B2BC2" w:rsidP="001C01C4">
      <w:pPr>
        <w:pStyle w:val="Lijstalinea"/>
        <w:numPr>
          <w:ilvl w:val="0"/>
          <w:numId w:val="13"/>
        </w:numPr>
        <w:ind w:left="426" w:hanging="426"/>
        <w:jc w:val="both"/>
        <w:rPr>
          <w:rFonts w:cs="Times New Roman"/>
          <w:b/>
          <w:lang w:val="nl-NL"/>
        </w:rPr>
      </w:pPr>
      <w:r w:rsidRPr="001C01C4">
        <w:rPr>
          <w:rFonts w:cs="Times New Roman"/>
          <w:b/>
          <w:lang w:val="nl-NL"/>
        </w:rPr>
        <w:t>Pag</w:t>
      </w:r>
      <w:r w:rsidR="002568F5" w:rsidRPr="001C01C4">
        <w:rPr>
          <w:rFonts w:cs="Times New Roman"/>
          <w:b/>
          <w:lang w:val="nl-NL"/>
        </w:rPr>
        <w:t>.</w:t>
      </w:r>
      <w:r w:rsidRPr="001C01C4">
        <w:rPr>
          <w:rFonts w:cs="Times New Roman"/>
          <w:b/>
          <w:lang w:val="nl-NL"/>
        </w:rPr>
        <w:t xml:space="preserve"> 11 (bijlage) bovenaan – wat is de exacte definitie van “klein onderhoud onderdeel B1”? Indien mogelijk, graag een exacte opsomming of een interpretatie.</w:t>
      </w:r>
    </w:p>
    <w:p w14:paraId="76BF8CF4" w14:textId="2D8F70BE" w:rsidR="00037E5F" w:rsidRDefault="00037E5F" w:rsidP="00E617C7">
      <w:pPr>
        <w:pStyle w:val="Lijstalinea"/>
        <w:ind w:left="426" w:hanging="426"/>
        <w:jc w:val="both"/>
        <w:rPr>
          <w:rFonts w:cs="Times New Roman"/>
          <w:lang w:val="nl-NL"/>
        </w:rPr>
      </w:pPr>
    </w:p>
    <w:p w14:paraId="66DB01B0" w14:textId="77777777" w:rsidR="003D21BF" w:rsidRDefault="00037E5F" w:rsidP="00E617C7">
      <w:pPr>
        <w:pStyle w:val="Lijstalinea"/>
        <w:ind w:left="426"/>
        <w:jc w:val="both"/>
        <w:rPr>
          <w:rFonts w:cs="Times New Roman"/>
          <w:lang w:val="nl-NL"/>
        </w:rPr>
      </w:pPr>
      <w:r w:rsidRPr="003D21BF">
        <w:rPr>
          <w:rFonts w:cs="Times New Roman"/>
          <w:b/>
          <w:lang w:val="nl-NL"/>
        </w:rPr>
        <w:t>Antwoord:</w:t>
      </w:r>
      <w:r w:rsidR="00054A09">
        <w:rPr>
          <w:rFonts w:cs="Times New Roman"/>
          <w:lang w:val="nl-NL"/>
        </w:rPr>
        <w:t xml:space="preserve"> </w:t>
      </w:r>
    </w:p>
    <w:p w14:paraId="72A3D3EC" w14:textId="41BB879A" w:rsidR="001B2BC2" w:rsidRDefault="00AF3F9A" w:rsidP="00AF3F9A">
      <w:pPr>
        <w:ind w:firstLine="426"/>
        <w:jc w:val="both"/>
        <w:rPr>
          <w:rFonts w:cs="Times New Roman"/>
          <w:lang w:val="nl-NL"/>
        </w:rPr>
      </w:pPr>
      <w:r>
        <w:rPr>
          <w:rFonts w:cs="Times New Roman"/>
          <w:lang w:val="nl-NL"/>
        </w:rPr>
        <w:t>Hiertoe behoren de componenten zoals omschreven in het KB van 25 april 2002, onder B1</w:t>
      </w:r>
      <w:r w:rsidR="001C01C4">
        <w:rPr>
          <w:rFonts w:cs="Times New Roman"/>
          <w:lang w:val="nl-NL"/>
        </w:rPr>
        <w:t>.</w:t>
      </w:r>
    </w:p>
    <w:p w14:paraId="524DEBAC" w14:textId="4634876A" w:rsidR="006C31C0" w:rsidRDefault="006C31C0" w:rsidP="00AF3F9A">
      <w:pPr>
        <w:ind w:firstLine="426"/>
        <w:jc w:val="both"/>
        <w:rPr>
          <w:lang w:val="nl-NL"/>
        </w:rPr>
      </w:pPr>
      <w:r>
        <w:rPr>
          <w:rFonts w:cs="Times New Roman"/>
          <w:lang w:val="nl-NL"/>
        </w:rPr>
        <w:t>Hiertoe behoren zeker niet de kleine aankopen voor kleine herstellingen.</w:t>
      </w:r>
    </w:p>
    <w:p w14:paraId="526D2095" w14:textId="77777777" w:rsidR="00517A56" w:rsidRPr="00606BCE" w:rsidRDefault="00517A56" w:rsidP="001B2BC2">
      <w:pPr>
        <w:jc w:val="both"/>
        <w:rPr>
          <w:lang w:val="nl-NL"/>
        </w:rPr>
      </w:pPr>
    </w:p>
    <w:p w14:paraId="1CE336F5" w14:textId="627BA530" w:rsidR="001B2BC2" w:rsidRPr="00E617C7" w:rsidRDefault="001B2BC2" w:rsidP="00600160">
      <w:pPr>
        <w:pStyle w:val="Lijstalinea"/>
        <w:numPr>
          <w:ilvl w:val="0"/>
          <w:numId w:val="13"/>
        </w:numPr>
        <w:ind w:left="426" w:hanging="426"/>
        <w:jc w:val="both"/>
        <w:rPr>
          <w:rFonts w:cs="Times New Roman"/>
          <w:b/>
          <w:lang w:val="nl-NL"/>
        </w:rPr>
      </w:pPr>
      <w:r w:rsidRPr="00E617C7">
        <w:rPr>
          <w:rFonts w:cs="Times New Roman"/>
          <w:b/>
          <w:lang w:val="nl-NL"/>
        </w:rPr>
        <w:t>Pag</w:t>
      </w:r>
      <w:r w:rsidR="009D30D7" w:rsidRPr="00E617C7">
        <w:rPr>
          <w:rFonts w:cs="Times New Roman"/>
          <w:b/>
          <w:lang w:val="nl-NL"/>
        </w:rPr>
        <w:t>.</w:t>
      </w:r>
      <w:r w:rsidRPr="00E617C7">
        <w:rPr>
          <w:rFonts w:cs="Times New Roman"/>
          <w:b/>
          <w:lang w:val="nl-NL"/>
        </w:rPr>
        <w:t xml:space="preserve"> 13 bovenaan “</w:t>
      </w:r>
      <w:r w:rsidRPr="00E617C7">
        <w:rPr>
          <w:rFonts w:cs="Times New Roman"/>
          <w:b/>
          <w:i/>
          <w:iCs/>
          <w:u w:val="single"/>
          <w:lang w:val="nl-NL"/>
        </w:rPr>
        <w:t>Afbakening”</w:t>
      </w:r>
      <w:r w:rsidRPr="00E617C7">
        <w:rPr>
          <w:rFonts w:cs="Times New Roman"/>
          <w:b/>
          <w:lang w:val="nl-NL"/>
        </w:rPr>
        <w:t xml:space="preserve"> in tijd voor instandhoudingsforfait.</w:t>
      </w:r>
    </w:p>
    <w:p w14:paraId="56B165D6" w14:textId="77777777" w:rsidR="001B2BC2" w:rsidRDefault="001B2BC2" w:rsidP="00600160">
      <w:pPr>
        <w:pStyle w:val="Lijstalinea"/>
        <w:ind w:left="426"/>
        <w:jc w:val="both"/>
        <w:rPr>
          <w:rFonts w:cs="Times New Roman"/>
          <w:lang w:val="nl-NL"/>
        </w:rPr>
      </w:pPr>
      <w:r>
        <w:rPr>
          <w:rFonts w:cs="Times New Roman"/>
          <w:lang w:val="nl-NL"/>
        </w:rPr>
        <w:t>Tot nu toe – wat afschrijvingen betreft – had ik als onderbouwing voor het instandhoudingsforfait het volgende:</w:t>
      </w:r>
    </w:p>
    <w:p w14:paraId="2398162B" w14:textId="12859AD1" w:rsidR="001B2BC2" w:rsidRDefault="001B2BC2" w:rsidP="00600160">
      <w:pPr>
        <w:pStyle w:val="Lijstalinea"/>
        <w:numPr>
          <w:ilvl w:val="1"/>
          <w:numId w:val="5"/>
        </w:numPr>
        <w:ind w:left="709" w:hanging="284"/>
        <w:jc w:val="both"/>
        <w:rPr>
          <w:rFonts w:cs="Times New Roman"/>
          <w:lang w:val="nl-NL"/>
        </w:rPr>
      </w:pPr>
      <w:r>
        <w:rPr>
          <w:rFonts w:cs="Times New Roman"/>
          <w:lang w:val="nl-NL"/>
        </w:rPr>
        <w:t>Groot onderhoud – geïnvesteerd vanaf 2015 (eerste afschrijving 2016)</w:t>
      </w:r>
    </w:p>
    <w:p w14:paraId="129C7384" w14:textId="0933C30F" w:rsidR="001B2BC2" w:rsidRDefault="001B2BC2" w:rsidP="00600160">
      <w:pPr>
        <w:pStyle w:val="Lijstalinea"/>
        <w:ind w:left="709" w:hanging="1"/>
        <w:jc w:val="both"/>
        <w:rPr>
          <w:rFonts w:cs="Times New Roman"/>
          <w:lang w:val="nl-NL"/>
        </w:rPr>
      </w:pPr>
      <w:r>
        <w:rPr>
          <w:rFonts w:cs="Times New Roman"/>
          <w:lang w:val="nl-NL"/>
        </w:rPr>
        <w:t>Mat. Voor medische uitrusting – alle lopende afschrijvingen (oudste = investering 2014)</w:t>
      </w:r>
    </w:p>
    <w:p w14:paraId="2AF74AA4" w14:textId="1630BEF0" w:rsidR="001B2BC2" w:rsidRDefault="001B2BC2" w:rsidP="00600160">
      <w:pPr>
        <w:pStyle w:val="Lijstalinea"/>
        <w:numPr>
          <w:ilvl w:val="1"/>
          <w:numId w:val="5"/>
        </w:numPr>
        <w:ind w:left="709" w:hanging="284"/>
        <w:jc w:val="both"/>
        <w:rPr>
          <w:rFonts w:cs="Times New Roman"/>
          <w:lang w:val="nl-NL"/>
        </w:rPr>
      </w:pPr>
      <w:r>
        <w:rPr>
          <w:rFonts w:cs="Times New Roman"/>
          <w:lang w:val="nl-NL"/>
        </w:rPr>
        <w:t>Niet-medische uitrusting – alle lopende afschrijvingen (oudste = investering 200</w:t>
      </w:r>
      <w:r w:rsidR="00A56E28">
        <w:rPr>
          <w:rFonts w:cs="Times New Roman"/>
          <w:lang w:val="nl-NL"/>
        </w:rPr>
        <w:t>9</w:t>
      </w:r>
      <w:r>
        <w:rPr>
          <w:rFonts w:cs="Times New Roman"/>
          <w:lang w:val="nl-NL"/>
        </w:rPr>
        <w:t>)</w:t>
      </w:r>
    </w:p>
    <w:p w14:paraId="1A4DF543" w14:textId="571E1220" w:rsidR="001B2BC2" w:rsidRDefault="001B2BC2" w:rsidP="00600160">
      <w:pPr>
        <w:pStyle w:val="Lijstalinea"/>
        <w:ind w:left="709" w:hanging="1"/>
        <w:jc w:val="both"/>
        <w:rPr>
          <w:rFonts w:cs="Times New Roman"/>
          <w:lang w:val="nl-NL"/>
        </w:rPr>
      </w:pPr>
      <w:r>
        <w:rPr>
          <w:rFonts w:cs="Times New Roman"/>
          <w:lang w:val="nl-NL"/>
        </w:rPr>
        <w:t>Mat. Voor informatieverwerking – alle lopende investeringen (oudste = investering</w:t>
      </w:r>
      <w:r w:rsidR="00600160">
        <w:rPr>
          <w:rFonts w:cs="Times New Roman"/>
          <w:lang w:val="nl-NL"/>
        </w:rPr>
        <w:t xml:space="preserve"> </w:t>
      </w:r>
      <w:r>
        <w:rPr>
          <w:rFonts w:cs="Times New Roman"/>
          <w:lang w:val="nl-NL"/>
        </w:rPr>
        <w:t>2012)</w:t>
      </w:r>
      <w:r w:rsidR="00153162">
        <w:rPr>
          <w:rFonts w:cs="Times New Roman"/>
          <w:lang w:val="nl-NL"/>
        </w:rPr>
        <w:t xml:space="preserve"> - Hardware</w:t>
      </w:r>
    </w:p>
    <w:p w14:paraId="4034A2CA" w14:textId="61A0A426" w:rsidR="001B2BC2" w:rsidRDefault="001B2BC2" w:rsidP="00600160">
      <w:pPr>
        <w:pStyle w:val="Lijstalinea"/>
        <w:numPr>
          <w:ilvl w:val="1"/>
          <w:numId w:val="5"/>
        </w:numPr>
        <w:ind w:left="709" w:hanging="284"/>
        <w:jc w:val="both"/>
        <w:rPr>
          <w:rFonts w:cs="Times New Roman"/>
          <w:lang w:val="nl-NL"/>
        </w:rPr>
      </w:pPr>
      <w:r>
        <w:rPr>
          <w:rFonts w:cs="Times New Roman"/>
          <w:lang w:val="nl-NL"/>
        </w:rPr>
        <w:t>Software – alle lopende investeringen (oudste = investering 2014)</w:t>
      </w:r>
    </w:p>
    <w:p w14:paraId="0E27B00A" w14:textId="77777777" w:rsidR="001B2BC2" w:rsidRDefault="001B2BC2" w:rsidP="001B2BC2">
      <w:pPr>
        <w:pStyle w:val="Lijstalinea"/>
        <w:jc w:val="both"/>
        <w:rPr>
          <w:rFonts w:cs="Times New Roman"/>
          <w:lang w:val="nl-NL"/>
        </w:rPr>
      </w:pPr>
    </w:p>
    <w:p w14:paraId="74B36142" w14:textId="22C66B9A" w:rsidR="001B2BC2" w:rsidRDefault="001B2BC2" w:rsidP="00600160">
      <w:pPr>
        <w:pStyle w:val="Lijstalinea"/>
        <w:ind w:left="426"/>
        <w:jc w:val="both"/>
        <w:rPr>
          <w:rFonts w:cs="Times New Roman"/>
          <w:lang w:val="nl-NL"/>
        </w:rPr>
      </w:pPr>
      <w:r>
        <w:rPr>
          <w:rFonts w:cs="Times New Roman"/>
          <w:lang w:val="nl-NL"/>
        </w:rPr>
        <w:t>Begrijp ik het goed dat enkel als verantwoording wordt meegenomen, investeringen (ongeacht dewelke van hierboven opgesomde) vanaf 2015? Afschrijvingen van oudere investeringen (ouder dan 2015) die nu nog worden afgeschreven worden dan toch niet gefinancierd?</w:t>
      </w:r>
    </w:p>
    <w:p w14:paraId="311ABC14" w14:textId="69AE0987" w:rsidR="00184423" w:rsidRDefault="00184423" w:rsidP="001B2BC2">
      <w:pPr>
        <w:pStyle w:val="Lijstalinea"/>
        <w:jc w:val="both"/>
        <w:rPr>
          <w:rFonts w:cs="Times New Roman"/>
          <w:lang w:val="nl-NL"/>
        </w:rPr>
      </w:pPr>
    </w:p>
    <w:p w14:paraId="47A9ED79" w14:textId="0B93F082" w:rsidR="00B555F0" w:rsidRPr="006B46F2" w:rsidRDefault="00184423" w:rsidP="00743F48">
      <w:pPr>
        <w:pStyle w:val="Lijstalinea"/>
        <w:ind w:left="426"/>
        <w:jc w:val="both"/>
        <w:rPr>
          <w:rFonts w:cs="Times New Roman"/>
          <w:b/>
          <w:lang w:val="nl-NL"/>
        </w:rPr>
      </w:pPr>
      <w:r w:rsidRPr="006B46F2">
        <w:rPr>
          <w:rFonts w:cs="Times New Roman"/>
          <w:b/>
          <w:lang w:val="nl-NL"/>
        </w:rPr>
        <w:t xml:space="preserve">Antwoord: </w:t>
      </w:r>
    </w:p>
    <w:p w14:paraId="1B7717BF" w14:textId="1DC69C65" w:rsidR="00B555F0" w:rsidRPr="008A72C9" w:rsidRDefault="00A21128" w:rsidP="00743F48">
      <w:pPr>
        <w:pStyle w:val="Lijstalinea"/>
        <w:ind w:left="426"/>
        <w:jc w:val="both"/>
        <w:rPr>
          <w:rFonts w:cs="Times New Roman"/>
          <w:lang w:val="nl-NL"/>
        </w:rPr>
      </w:pPr>
      <w:r>
        <w:rPr>
          <w:rFonts w:cs="Times New Roman"/>
          <w:lang w:val="nl-NL"/>
        </w:rPr>
        <w:t>We maken hier volgend onderscheid:</w:t>
      </w:r>
    </w:p>
    <w:p w14:paraId="7A5C3D4D" w14:textId="77777777" w:rsidR="00AF3F9A" w:rsidRDefault="00AF3F9A" w:rsidP="00743F48">
      <w:pPr>
        <w:pStyle w:val="Lijstalinea"/>
        <w:numPr>
          <w:ilvl w:val="0"/>
          <w:numId w:val="7"/>
        </w:numPr>
        <w:ind w:left="709" w:hanging="283"/>
        <w:jc w:val="both"/>
        <w:rPr>
          <w:rFonts w:cs="Times New Roman"/>
          <w:lang w:val="nl-NL"/>
        </w:rPr>
      </w:pPr>
      <w:r>
        <w:rPr>
          <w:rFonts w:cs="Times New Roman"/>
          <w:lang w:val="nl-NL"/>
        </w:rPr>
        <w:t xml:space="preserve">Groot onderhoud, onroerende investeringen, </w:t>
      </w:r>
      <w:proofErr w:type="spellStart"/>
      <w:r>
        <w:rPr>
          <w:rFonts w:cs="Times New Roman"/>
          <w:lang w:val="nl-NL"/>
        </w:rPr>
        <w:t>herconditioneringen</w:t>
      </w:r>
      <w:proofErr w:type="spellEnd"/>
      <w:r>
        <w:rPr>
          <w:rFonts w:cs="Times New Roman"/>
          <w:lang w:val="nl-NL"/>
        </w:rPr>
        <w:t xml:space="preserve"> …: enkel met eerste afschrijving vanaf 2016 behalve afschrijvingen van investeringen van de dossiers met goedkeuring voor autofinanciering</w:t>
      </w:r>
    </w:p>
    <w:p w14:paraId="632529E9" w14:textId="57A80AFB" w:rsidR="00B555F0" w:rsidRDefault="00B555F0" w:rsidP="00743F48">
      <w:pPr>
        <w:pStyle w:val="Lijstalinea"/>
        <w:numPr>
          <w:ilvl w:val="0"/>
          <w:numId w:val="7"/>
        </w:numPr>
        <w:ind w:left="709" w:hanging="283"/>
        <w:jc w:val="both"/>
        <w:rPr>
          <w:rFonts w:cs="Times New Roman"/>
          <w:lang w:val="nl-NL"/>
        </w:rPr>
      </w:pPr>
      <w:r>
        <w:rPr>
          <w:rFonts w:cs="Times New Roman"/>
          <w:lang w:val="nl-NL"/>
        </w:rPr>
        <w:t>Andere, roerende investeringen</w:t>
      </w:r>
      <w:r w:rsidR="00AF3F9A">
        <w:rPr>
          <w:rFonts w:cs="Times New Roman"/>
          <w:lang w:val="nl-NL"/>
        </w:rPr>
        <w:t>;</w:t>
      </w:r>
    </w:p>
    <w:p w14:paraId="19FB3F3B" w14:textId="0BE69D38" w:rsidR="00AF3F9A" w:rsidRDefault="00AF3F9A" w:rsidP="00AF3F9A">
      <w:pPr>
        <w:pStyle w:val="Lijstalinea"/>
        <w:numPr>
          <w:ilvl w:val="0"/>
          <w:numId w:val="7"/>
        </w:numPr>
        <w:jc w:val="both"/>
        <w:rPr>
          <w:rFonts w:cs="Times New Roman"/>
          <w:lang w:val="nl-NL"/>
        </w:rPr>
      </w:pPr>
      <w:r>
        <w:rPr>
          <w:rFonts w:cs="Times New Roman"/>
          <w:lang w:val="nl-NL"/>
        </w:rPr>
        <w:t>alle afschrijvingen vanaf 2016 (we aanvaarden dat er teruggerekend wordt volgens de wettelijke afschrijvingstermijn). Indien er herwaarderingen zouden zijn, wordt er geen rekening gehouden met de afschrijvingen op de herwaarderingen.</w:t>
      </w:r>
    </w:p>
    <w:p w14:paraId="56B58D14" w14:textId="64BA1D84" w:rsidR="00AF3F9A" w:rsidRDefault="00AF3F9A" w:rsidP="00AF3F9A">
      <w:pPr>
        <w:pStyle w:val="Lijstalinea"/>
        <w:numPr>
          <w:ilvl w:val="0"/>
          <w:numId w:val="7"/>
        </w:numPr>
        <w:jc w:val="both"/>
        <w:rPr>
          <w:rFonts w:cs="Times New Roman"/>
          <w:lang w:val="nl-NL"/>
        </w:rPr>
      </w:pPr>
      <w:r w:rsidRPr="00AF3F9A">
        <w:rPr>
          <w:rFonts w:cs="Times New Roman"/>
          <w:lang w:val="nl-NL"/>
        </w:rPr>
        <w:t>leasing: indien operationele lease, wordt die volledig als huurkost aanvaard.</w:t>
      </w:r>
    </w:p>
    <w:p w14:paraId="530B4517" w14:textId="6449173F" w:rsidR="00910D46" w:rsidRPr="00AF3F9A" w:rsidRDefault="00910D46" w:rsidP="00AF3F9A">
      <w:pPr>
        <w:pStyle w:val="Lijstalinea"/>
        <w:numPr>
          <w:ilvl w:val="0"/>
          <w:numId w:val="7"/>
        </w:numPr>
        <w:jc w:val="both"/>
        <w:rPr>
          <w:rFonts w:cs="Times New Roman"/>
          <w:lang w:val="nl-NL"/>
        </w:rPr>
      </w:pPr>
      <w:r>
        <w:rPr>
          <w:rFonts w:cs="Times New Roman"/>
          <w:lang w:val="nl-NL"/>
        </w:rPr>
        <w:t>Hiertoe behoort ook software, maar niet de kosten met betrekking tot EPD.</w:t>
      </w:r>
    </w:p>
    <w:p w14:paraId="60061E4C" w14:textId="77777777" w:rsidR="001B2BC2" w:rsidRDefault="001B2BC2" w:rsidP="001B2BC2">
      <w:pPr>
        <w:jc w:val="both"/>
        <w:rPr>
          <w:lang w:val="nl-NL"/>
        </w:rPr>
      </w:pPr>
    </w:p>
    <w:p w14:paraId="33BAB74D" w14:textId="77777777" w:rsidR="00E150A6" w:rsidRDefault="00E150A6" w:rsidP="00E150A6">
      <w:pPr>
        <w:pStyle w:val="Lijstalinea"/>
        <w:ind w:left="426"/>
        <w:jc w:val="both"/>
        <w:rPr>
          <w:b/>
        </w:rPr>
      </w:pPr>
    </w:p>
    <w:p w14:paraId="0E89049B" w14:textId="4922A048" w:rsidR="00E150A6" w:rsidRDefault="00F40E65" w:rsidP="009D30D7">
      <w:pPr>
        <w:pStyle w:val="Lijstalinea"/>
        <w:numPr>
          <w:ilvl w:val="0"/>
          <w:numId w:val="13"/>
        </w:numPr>
        <w:ind w:left="426" w:hanging="426"/>
        <w:jc w:val="both"/>
        <w:rPr>
          <w:b/>
        </w:rPr>
      </w:pPr>
      <w:r>
        <w:rPr>
          <w:b/>
        </w:rPr>
        <w:lastRenderedPageBreak/>
        <w:t xml:space="preserve">Bij de opbrengsten wordt onder de hoofding “strategisch forfait” ook </w:t>
      </w:r>
      <w:r w:rsidR="008D14E7">
        <w:rPr>
          <w:b/>
        </w:rPr>
        <w:t>de</w:t>
      </w:r>
      <w:r>
        <w:rPr>
          <w:b/>
        </w:rPr>
        <w:t xml:space="preserve"> gebruikstoelage vermeld</w:t>
      </w:r>
      <w:r w:rsidR="008D14E7">
        <w:rPr>
          <w:b/>
        </w:rPr>
        <w:t>. In geval dat wij een gebruikstoelage ontvangen, dienen we die hier steeds te vermelden?</w:t>
      </w:r>
    </w:p>
    <w:p w14:paraId="7F412D12" w14:textId="1E5520A4" w:rsidR="00E150A6" w:rsidRDefault="00E150A6" w:rsidP="00E150A6">
      <w:pPr>
        <w:pStyle w:val="Lijstalinea"/>
        <w:ind w:left="426"/>
        <w:jc w:val="both"/>
        <w:rPr>
          <w:bCs/>
        </w:rPr>
      </w:pPr>
      <w:r>
        <w:rPr>
          <w:b/>
        </w:rPr>
        <w:t>Antwoord:</w:t>
      </w:r>
      <w:r>
        <w:rPr>
          <w:bCs/>
        </w:rPr>
        <w:t xml:space="preserve"> neen, deze dient enkel te worden opgenomen indien er ook een strategisch forfait wordt </w:t>
      </w:r>
      <w:r w:rsidR="008D14E7">
        <w:rPr>
          <w:bCs/>
        </w:rPr>
        <w:t>ontvangen</w:t>
      </w:r>
      <w:r w:rsidR="00F40E65">
        <w:rPr>
          <w:bCs/>
        </w:rPr>
        <w:t>. Gebruikstoelagen op bouwprojecten die geen strategisch forfait ontvangen, dienen niet vermeld te worden.</w:t>
      </w:r>
    </w:p>
    <w:p w14:paraId="42D1FF55" w14:textId="174E2042" w:rsidR="000D0899" w:rsidRPr="000D0899" w:rsidRDefault="000D0899" w:rsidP="00E150A6">
      <w:pPr>
        <w:pStyle w:val="Lijstalinea"/>
        <w:ind w:left="426"/>
        <w:jc w:val="both"/>
        <w:rPr>
          <w:bCs/>
        </w:rPr>
      </w:pPr>
      <w:r>
        <w:rPr>
          <w:bCs/>
        </w:rPr>
        <w:t>In geval de gebruikstoelage niet in de opbrengsten wordt opgenomen, kunnen de overeenkomstige afschrijvingen en eventuele intrestlasten evenmin worden opgenomen bij de kosten.</w:t>
      </w:r>
    </w:p>
    <w:p w14:paraId="3A6182B8" w14:textId="77777777" w:rsidR="00E150A6" w:rsidRDefault="00E150A6" w:rsidP="00E150A6">
      <w:pPr>
        <w:pStyle w:val="Lijstalinea"/>
        <w:ind w:left="426"/>
        <w:jc w:val="both"/>
        <w:rPr>
          <w:b/>
        </w:rPr>
      </w:pPr>
    </w:p>
    <w:p w14:paraId="58333E12" w14:textId="5B5A8AB9" w:rsidR="004D5475" w:rsidRPr="00E617C7" w:rsidRDefault="00E150A6" w:rsidP="009D30D7">
      <w:pPr>
        <w:pStyle w:val="Lijstalinea"/>
        <w:numPr>
          <w:ilvl w:val="0"/>
          <w:numId w:val="13"/>
        </w:numPr>
        <w:ind w:left="426" w:hanging="426"/>
        <w:jc w:val="both"/>
        <w:rPr>
          <w:b/>
        </w:rPr>
      </w:pPr>
      <w:r>
        <w:rPr>
          <w:b/>
        </w:rPr>
        <w:t>Gebruikstoelage: m</w:t>
      </w:r>
      <w:r w:rsidR="002568F5">
        <w:rPr>
          <w:b/>
        </w:rPr>
        <w:t>.</w:t>
      </w:r>
      <w:r w:rsidR="001B2BC2" w:rsidRPr="00E617C7">
        <w:rPr>
          <w:b/>
        </w:rPr>
        <w:t>b</w:t>
      </w:r>
      <w:r w:rsidR="002568F5">
        <w:rPr>
          <w:b/>
        </w:rPr>
        <w:t>.</w:t>
      </w:r>
      <w:r w:rsidR="001B2BC2" w:rsidRPr="00E617C7">
        <w:rPr>
          <w:b/>
        </w:rPr>
        <w:t>t</w:t>
      </w:r>
      <w:r w:rsidR="002568F5">
        <w:rPr>
          <w:b/>
        </w:rPr>
        <w:t>.</w:t>
      </w:r>
      <w:r w:rsidR="001B2BC2" w:rsidRPr="00E617C7">
        <w:rPr>
          <w:b/>
        </w:rPr>
        <w:t xml:space="preserve"> de component interestvergoeding: indien de investering gefinancierd werd met eigen/beschikbare middelen, kan hier gewerkt worden met een opportuniteitskost ?  Of mogen we het deel van de interestvergoeding in de gebruikstoelage als verworven beschouwen ?</w:t>
      </w:r>
    </w:p>
    <w:p w14:paraId="1557273E" w14:textId="77777777" w:rsidR="004D5475" w:rsidRDefault="004D5475" w:rsidP="004D5475">
      <w:pPr>
        <w:pStyle w:val="Lijstalinea"/>
        <w:jc w:val="both"/>
      </w:pPr>
    </w:p>
    <w:p w14:paraId="77615F6A" w14:textId="0896BEF2" w:rsidR="000D6F72" w:rsidRPr="00B246A0" w:rsidRDefault="004D5475" w:rsidP="00743F48">
      <w:pPr>
        <w:pStyle w:val="Lijstalinea"/>
        <w:ind w:left="426"/>
        <w:jc w:val="both"/>
        <w:rPr>
          <w:b/>
        </w:rPr>
      </w:pPr>
      <w:r w:rsidRPr="00B246A0">
        <w:rPr>
          <w:b/>
        </w:rPr>
        <w:t xml:space="preserve">Antwoord: </w:t>
      </w:r>
    </w:p>
    <w:p w14:paraId="75C8FBB9" w14:textId="7D6A4563" w:rsidR="001B2BC2" w:rsidRDefault="00A21128" w:rsidP="00743F48">
      <w:pPr>
        <w:pStyle w:val="Lijstalinea"/>
        <w:numPr>
          <w:ilvl w:val="1"/>
          <w:numId w:val="2"/>
        </w:numPr>
        <w:ind w:left="709" w:hanging="283"/>
        <w:jc w:val="both"/>
      </w:pPr>
      <w:r>
        <w:t>E</w:t>
      </w:r>
      <w:r w:rsidR="000D6F72">
        <w:t>nkel de effectieve kosten kunnen hier worden meegenomen</w:t>
      </w:r>
      <w:r w:rsidR="00AF3F9A">
        <w:t>, opportuniteitskosten komen niet in aanmerking.</w:t>
      </w:r>
    </w:p>
    <w:p w14:paraId="431C51FA" w14:textId="1D0ADAEF" w:rsidR="000D6F72" w:rsidRDefault="00A21128" w:rsidP="00743F48">
      <w:pPr>
        <w:pStyle w:val="Lijstalinea"/>
        <w:numPr>
          <w:ilvl w:val="1"/>
          <w:numId w:val="2"/>
        </w:numPr>
        <w:ind w:left="709" w:hanging="283"/>
        <w:jc w:val="both"/>
      </w:pPr>
      <w:r>
        <w:t>D</w:t>
      </w:r>
      <w:r w:rsidR="007A4F37">
        <w:t>e gebruikstoelage</w:t>
      </w:r>
      <w:r w:rsidR="00E45A3C">
        <w:t xml:space="preserve"> </w:t>
      </w:r>
      <w:r w:rsidR="00E62901">
        <w:t>dient integraal te worden opgenomen in de rapporteringsperiode</w:t>
      </w:r>
      <w:r>
        <w:t>.</w:t>
      </w:r>
    </w:p>
    <w:p w14:paraId="42B8A2CA" w14:textId="2072618E" w:rsidR="00FB4ED3" w:rsidRDefault="00A21128" w:rsidP="00743F48">
      <w:pPr>
        <w:pStyle w:val="Lijstalinea"/>
        <w:numPr>
          <w:ilvl w:val="1"/>
          <w:numId w:val="2"/>
        </w:numPr>
        <w:ind w:left="709" w:hanging="283"/>
        <w:jc w:val="both"/>
      </w:pPr>
      <w:r>
        <w:t>H</w:t>
      </w:r>
      <w:r w:rsidR="00FB4ED3">
        <w:t xml:space="preserve">et met eigen vermogen financieren is op zich geen reden om </w:t>
      </w:r>
      <w:r>
        <w:t>de</w:t>
      </w:r>
      <w:r w:rsidR="00FB4ED3">
        <w:t xml:space="preserve"> intrestvergoeding terug te vorderen in zoverre dat er voldoende andere te verantwoorden kosten zijn</w:t>
      </w:r>
      <w:r>
        <w:t>.</w:t>
      </w:r>
      <w:r w:rsidR="00B40F6A">
        <w:t xml:space="preserve"> </w:t>
      </w:r>
      <w:r w:rsidR="00840552">
        <w:t>Er wordt in een verder stadium van de controle ook</w:t>
      </w:r>
      <w:r w:rsidR="000A7AC2">
        <w:t xml:space="preserve"> al</w:t>
      </w:r>
      <w:r w:rsidR="00840552">
        <w:t xml:space="preserve"> rekening gehouden met de ROCE bij het financieren via het eigen vermogen</w:t>
      </w:r>
      <w:r w:rsidR="000A7AC2">
        <w:t xml:space="preserve"> indien dat relevant is</w:t>
      </w:r>
      <w:r w:rsidR="00840552">
        <w:t>.</w:t>
      </w:r>
    </w:p>
    <w:p w14:paraId="44EAFD9C" w14:textId="77777777" w:rsidR="004E7CDE" w:rsidRDefault="004E7CDE" w:rsidP="001B2BC2">
      <w:pPr>
        <w:jc w:val="both"/>
      </w:pPr>
    </w:p>
    <w:p w14:paraId="00408646" w14:textId="77777777" w:rsidR="00E150A6" w:rsidRDefault="00E150A6" w:rsidP="00E150A6">
      <w:pPr>
        <w:pStyle w:val="Lijstalinea"/>
        <w:ind w:left="426"/>
        <w:jc w:val="both"/>
        <w:rPr>
          <w:b/>
        </w:rPr>
      </w:pPr>
    </w:p>
    <w:p w14:paraId="00083FAD" w14:textId="17BE72A3" w:rsidR="001B2BC2" w:rsidRPr="00E617C7" w:rsidRDefault="001B2BC2" w:rsidP="008549B1">
      <w:pPr>
        <w:pStyle w:val="Lijstalinea"/>
        <w:numPr>
          <w:ilvl w:val="0"/>
          <w:numId w:val="13"/>
        </w:numPr>
        <w:ind w:left="426" w:hanging="426"/>
        <w:jc w:val="both"/>
        <w:rPr>
          <w:b/>
        </w:rPr>
      </w:pPr>
      <w:r w:rsidRPr="00E617C7">
        <w:rPr>
          <w:b/>
        </w:rPr>
        <w:t>Bij het strategisch forfait, component interestvergoeding : indien de investering gefinancierd werd met eigen/beschikbare middelen, kan hier gewerkt worden met een opportuniteitskost ?  Zo niet, hebben wij er baat bij om voor deze bouwwerken vooralsnog een financiering aan te gaan ?</w:t>
      </w:r>
    </w:p>
    <w:p w14:paraId="3B50BA11" w14:textId="7C3866A2" w:rsidR="00E45A3C" w:rsidRDefault="00E45A3C" w:rsidP="00E45A3C">
      <w:pPr>
        <w:jc w:val="both"/>
      </w:pPr>
    </w:p>
    <w:p w14:paraId="1AC65E1F" w14:textId="3E51DAC4" w:rsidR="00E45A3C" w:rsidRPr="00B246A0" w:rsidRDefault="00E45A3C" w:rsidP="00743F48">
      <w:pPr>
        <w:ind w:left="426"/>
        <w:jc w:val="both"/>
        <w:rPr>
          <w:b/>
        </w:rPr>
      </w:pPr>
      <w:r w:rsidRPr="00B246A0">
        <w:rPr>
          <w:b/>
        </w:rPr>
        <w:t>Antwoord</w:t>
      </w:r>
      <w:r w:rsidR="002C30AF" w:rsidRPr="00B246A0">
        <w:rPr>
          <w:b/>
        </w:rPr>
        <w:t>:</w:t>
      </w:r>
    </w:p>
    <w:p w14:paraId="65425EC1" w14:textId="475AB3A8" w:rsidR="002C30AF" w:rsidRDefault="002C30AF" w:rsidP="00743F48">
      <w:pPr>
        <w:pStyle w:val="Lijstalinea"/>
        <w:numPr>
          <w:ilvl w:val="1"/>
          <w:numId w:val="2"/>
        </w:numPr>
        <w:ind w:left="709" w:hanging="283"/>
        <w:jc w:val="both"/>
      </w:pPr>
      <w:r>
        <w:t>Enkel de effectieve kosten kunnen worden ingebracht</w:t>
      </w:r>
      <w:r w:rsidR="00E568B0">
        <w:t>.</w:t>
      </w:r>
    </w:p>
    <w:p w14:paraId="6B154BEB" w14:textId="582C9C88" w:rsidR="00F63F46" w:rsidRDefault="00BB2631" w:rsidP="00743F48">
      <w:pPr>
        <w:pStyle w:val="Lijstalinea"/>
        <w:numPr>
          <w:ilvl w:val="1"/>
          <w:numId w:val="2"/>
        </w:numPr>
        <w:ind w:left="709" w:hanging="283"/>
        <w:jc w:val="both"/>
      </w:pPr>
      <w:r>
        <w:t xml:space="preserve">Het heeft weinig zin om in functie van de </w:t>
      </w:r>
      <w:r w:rsidR="00572489">
        <w:t xml:space="preserve">controle extra financiering </w:t>
      </w:r>
      <w:r w:rsidR="00101FB7">
        <w:t>en</w:t>
      </w:r>
      <w:r w:rsidR="00572489">
        <w:t xml:space="preserve"> kosten aan te gaan. Best wordt eerst gekeken of </w:t>
      </w:r>
      <w:r w:rsidR="001643AD">
        <w:t>de andere kosten niet volstaan om dit af te dekken</w:t>
      </w:r>
      <w:r w:rsidR="009D7A4E">
        <w:t>.</w:t>
      </w:r>
    </w:p>
    <w:p w14:paraId="5B6D678A" w14:textId="1337B764" w:rsidR="00CD222B" w:rsidRDefault="00CD222B" w:rsidP="00743F48">
      <w:pPr>
        <w:pStyle w:val="Lijstalinea"/>
        <w:numPr>
          <w:ilvl w:val="1"/>
          <w:numId w:val="2"/>
        </w:numPr>
        <w:ind w:left="709" w:hanging="283"/>
        <w:jc w:val="both"/>
      </w:pPr>
      <w:r>
        <w:t xml:space="preserve">In een verder stadium van de controle wordt, indien dat relevant is, </w:t>
      </w:r>
      <w:r w:rsidR="00A505C0">
        <w:t>rekening gehouden met de ROCE.</w:t>
      </w:r>
    </w:p>
    <w:p w14:paraId="4B94D5A5" w14:textId="77777777" w:rsidR="001B2BC2" w:rsidRDefault="001B2BC2" w:rsidP="001B2BC2">
      <w:pPr>
        <w:jc w:val="both"/>
      </w:pPr>
    </w:p>
    <w:p w14:paraId="4608E79D" w14:textId="7D3D1308" w:rsidR="001B2BC2" w:rsidRPr="00E617C7" w:rsidRDefault="001B2BC2" w:rsidP="008549B1">
      <w:pPr>
        <w:pStyle w:val="Lijstalinea"/>
        <w:numPr>
          <w:ilvl w:val="0"/>
          <w:numId w:val="13"/>
        </w:numPr>
        <w:ind w:left="426" w:hanging="426"/>
        <w:jc w:val="both"/>
        <w:rPr>
          <w:b/>
        </w:rPr>
      </w:pPr>
      <w:r w:rsidRPr="00E617C7">
        <w:rPr>
          <w:b/>
        </w:rPr>
        <w:t>Bij de voorgesteld</w:t>
      </w:r>
      <w:r w:rsidR="005A0EAF" w:rsidRPr="00E617C7">
        <w:rPr>
          <w:b/>
        </w:rPr>
        <w:t>e</w:t>
      </w:r>
      <w:r w:rsidRPr="00E617C7">
        <w:rPr>
          <w:b/>
        </w:rPr>
        <w:t xml:space="preserve"> boekingswijzen wordt aangeraden te werken met de aanleg van bestemde fondsen (in het geval van reservevorming).  Doch bestemde fondsen kunnen enkel aangelegd worden bij een positief boekhoudkundig resultaat.  Bovendien dient bij uitvoering van de werken, het ‘bestemd’ bedrag volledig teruggenomen te worden.  Dit terwijl de afschrijvingen nog tot 33 jaar lang kunnen wegen op het resultaat.  Opbrengsten en kosten liggen op die manier heel ver uit elkaar in de tijd.</w:t>
      </w:r>
    </w:p>
    <w:p w14:paraId="36C23A27" w14:textId="3F87E412" w:rsidR="00587ABD" w:rsidRDefault="00587ABD" w:rsidP="00587ABD">
      <w:pPr>
        <w:pStyle w:val="Lijstalinea"/>
        <w:jc w:val="both"/>
      </w:pPr>
    </w:p>
    <w:p w14:paraId="5B456E9D" w14:textId="77777777" w:rsidR="00517A56" w:rsidRDefault="00517A56" w:rsidP="00587ABD">
      <w:pPr>
        <w:pStyle w:val="Lijstalinea"/>
        <w:jc w:val="both"/>
      </w:pPr>
    </w:p>
    <w:p w14:paraId="5CD81D76" w14:textId="1F92DD53" w:rsidR="00587ABD" w:rsidRPr="00B246A0" w:rsidRDefault="00587ABD" w:rsidP="00743F48">
      <w:pPr>
        <w:pStyle w:val="Lijstalinea"/>
        <w:ind w:left="426"/>
        <w:jc w:val="both"/>
        <w:rPr>
          <w:b/>
        </w:rPr>
      </w:pPr>
      <w:r w:rsidRPr="00B246A0">
        <w:rPr>
          <w:b/>
        </w:rPr>
        <w:t>Antwoord:</w:t>
      </w:r>
    </w:p>
    <w:p w14:paraId="60416954" w14:textId="5ADDCAEA" w:rsidR="00DB6302" w:rsidRDefault="00DB6302" w:rsidP="00743F48">
      <w:pPr>
        <w:pStyle w:val="Lijstalinea"/>
        <w:numPr>
          <w:ilvl w:val="1"/>
          <w:numId w:val="2"/>
        </w:numPr>
        <w:ind w:left="709" w:hanging="283"/>
        <w:jc w:val="both"/>
      </w:pPr>
      <w:r>
        <w:t xml:space="preserve">Inderdaad, </w:t>
      </w:r>
      <w:r w:rsidR="00850EFC">
        <w:t xml:space="preserve">bestemde fondsen kunnen enkel </w:t>
      </w:r>
      <w:r w:rsidR="002F229E">
        <w:t>bij een</w:t>
      </w:r>
      <w:r w:rsidR="00850EFC">
        <w:t xml:space="preserve"> globaal positief resultaat</w:t>
      </w:r>
      <w:r w:rsidR="008D7C3B">
        <w:t>.</w:t>
      </w:r>
    </w:p>
    <w:p w14:paraId="6B96CA40" w14:textId="325D8388" w:rsidR="00AC6C3F" w:rsidRDefault="000E4D89" w:rsidP="00743F48">
      <w:pPr>
        <w:pStyle w:val="Lijstalinea"/>
        <w:numPr>
          <w:ilvl w:val="1"/>
          <w:numId w:val="2"/>
        </w:numPr>
        <w:ind w:left="709" w:hanging="283"/>
        <w:jc w:val="both"/>
      </w:pPr>
      <w:r>
        <w:t>De terugname van het bestemd fonds heeft echter geen impact op het resultaat, gezien dit via de resultaatsverwerking verloopt.</w:t>
      </w:r>
    </w:p>
    <w:p w14:paraId="488BB6AC" w14:textId="531DCB2B" w:rsidR="008C0DE9" w:rsidRDefault="008C0DE9" w:rsidP="00743F48">
      <w:pPr>
        <w:pStyle w:val="Lijstalinea"/>
        <w:numPr>
          <w:ilvl w:val="1"/>
          <w:numId w:val="2"/>
        </w:numPr>
        <w:ind w:left="709" w:hanging="283"/>
        <w:jc w:val="both"/>
      </w:pPr>
      <w:r>
        <w:t>Voor de controle dient dit eerder extracomptabel opgevolgd te worden. VIPA doet geen uitspraak over de wijze van boeken, voor de controle en opvolging maakt dit niks uit.</w:t>
      </w:r>
    </w:p>
    <w:p w14:paraId="3DEEC669" w14:textId="77777777" w:rsidR="001B2BC2" w:rsidRDefault="001B2BC2" w:rsidP="001B2BC2">
      <w:pPr>
        <w:jc w:val="both"/>
      </w:pPr>
    </w:p>
    <w:p w14:paraId="246E021A" w14:textId="66F55B83" w:rsidR="001B2BC2" w:rsidRPr="00E617C7" w:rsidRDefault="001B2BC2" w:rsidP="008549B1">
      <w:pPr>
        <w:pStyle w:val="Lijstalinea"/>
        <w:numPr>
          <w:ilvl w:val="0"/>
          <w:numId w:val="13"/>
        </w:numPr>
        <w:ind w:left="426" w:hanging="426"/>
        <w:jc w:val="both"/>
        <w:rPr>
          <w:b/>
        </w:rPr>
      </w:pPr>
      <w:r w:rsidRPr="00E617C7">
        <w:rPr>
          <w:b/>
        </w:rPr>
        <w:t xml:space="preserve">Kan een voorziening aangelegd worden voor </w:t>
      </w:r>
      <w:proofErr w:type="spellStart"/>
      <w:r w:rsidRPr="00E617C7">
        <w:rPr>
          <w:b/>
        </w:rPr>
        <w:t>herconditioneringswerken</w:t>
      </w:r>
      <w:proofErr w:type="spellEnd"/>
      <w:r w:rsidRPr="00E617C7">
        <w:rPr>
          <w:b/>
        </w:rPr>
        <w:t xml:space="preserve"> (bv</w:t>
      </w:r>
      <w:r w:rsidR="00101FB7">
        <w:rPr>
          <w:b/>
        </w:rPr>
        <w:t>.</w:t>
      </w:r>
      <w:r w:rsidRPr="00E617C7">
        <w:rPr>
          <w:b/>
        </w:rPr>
        <w:t xml:space="preserve"> na 20 jaar, </w:t>
      </w:r>
      <w:proofErr w:type="spellStart"/>
      <w:r w:rsidRPr="00E617C7">
        <w:rPr>
          <w:b/>
        </w:rPr>
        <w:t>cfr</w:t>
      </w:r>
      <w:proofErr w:type="spellEnd"/>
      <w:r w:rsidRPr="00E617C7">
        <w:rPr>
          <w:b/>
        </w:rPr>
        <w:t xml:space="preserve"> life-</w:t>
      </w:r>
      <w:proofErr w:type="spellStart"/>
      <w:r w:rsidRPr="00E617C7">
        <w:rPr>
          <w:b/>
        </w:rPr>
        <w:t>cycle</w:t>
      </w:r>
      <w:proofErr w:type="spellEnd"/>
      <w:r w:rsidRPr="00E617C7">
        <w:rPr>
          <w:b/>
        </w:rPr>
        <w:t>) of dient er jaarlijks een bedrag toegevoegd aan de bestemde fondsen ?</w:t>
      </w:r>
    </w:p>
    <w:p w14:paraId="3D608F2B" w14:textId="77777777" w:rsidR="008D7C3B" w:rsidRDefault="008D7C3B" w:rsidP="008D7C3B">
      <w:pPr>
        <w:pStyle w:val="Lijstalinea"/>
        <w:jc w:val="both"/>
      </w:pPr>
    </w:p>
    <w:p w14:paraId="2EE051E1" w14:textId="5EFA208A" w:rsidR="000D389C" w:rsidRPr="00B246A0" w:rsidRDefault="000D389C" w:rsidP="00743F48">
      <w:pPr>
        <w:ind w:left="426"/>
        <w:jc w:val="both"/>
        <w:rPr>
          <w:b/>
        </w:rPr>
      </w:pPr>
      <w:r w:rsidRPr="00B246A0">
        <w:rPr>
          <w:b/>
        </w:rPr>
        <w:t>Antwoord:</w:t>
      </w:r>
    </w:p>
    <w:p w14:paraId="002A9907" w14:textId="77777777" w:rsidR="00AF3F9A" w:rsidRDefault="00AF3F9A" w:rsidP="00AF3F9A">
      <w:pPr>
        <w:pStyle w:val="Lijstalinea"/>
        <w:numPr>
          <w:ilvl w:val="1"/>
          <w:numId w:val="2"/>
        </w:numPr>
        <w:jc w:val="both"/>
      </w:pPr>
      <w:r>
        <w:t>Voor uw boekhouding staat het u vrij voorzieningen in te boeken conform de mogelijkheden binnen de waarderingsregels uitgewerkt door de raad van bestuur en mits akkoord van de bedrijfsrevisor, voor de controle worden die geweerd.</w:t>
      </w:r>
    </w:p>
    <w:p w14:paraId="7D3D5145" w14:textId="77777777" w:rsidR="00AF3F9A" w:rsidRDefault="00AF3F9A" w:rsidP="00AF3F9A">
      <w:pPr>
        <w:pStyle w:val="Lijstalinea"/>
        <w:numPr>
          <w:ilvl w:val="1"/>
          <w:numId w:val="2"/>
        </w:numPr>
        <w:jc w:val="both"/>
      </w:pPr>
      <w:r>
        <w:t>De voorgestelde termijn voor voorzieningen is in dit voorbeeld  lang en pleit eerder voor activering en afschrijving achteraf.</w:t>
      </w:r>
    </w:p>
    <w:p w14:paraId="560B3A73" w14:textId="77777777" w:rsidR="00F03501" w:rsidRDefault="00F03501" w:rsidP="008549B1">
      <w:pPr>
        <w:jc w:val="both"/>
      </w:pPr>
    </w:p>
    <w:p w14:paraId="5B25DB33" w14:textId="7F455084" w:rsidR="00F03501" w:rsidRPr="00E617C7" w:rsidRDefault="00F03501" w:rsidP="008549B1">
      <w:pPr>
        <w:pStyle w:val="Lijstalinea"/>
        <w:numPr>
          <w:ilvl w:val="0"/>
          <w:numId w:val="13"/>
        </w:numPr>
        <w:ind w:left="426" w:hanging="426"/>
        <w:jc w:val="both"/>
        <w:rPr>
          <w:b/>
        </w:rPr>
      </w:pPr>
      <w:r w:rsidRPr="00E617C7">
        <w:rPr>
          <w:b/>
        </w:rPr>
        <w:t>Kunnen ook kosten ingebracht van een investering die aanmerking komt voor het strategisch forfait, maar waarvoor geen forfait werd aangevraagd:</w:t>
      </w:r>
    </w:p>
    <w:p w14:paraId="212EE472" w14:textId="77777777" w:rsidR="008D7C3B" w:rsidRDefault="008D7C3B" w:rsidP="008D7C3B">
      <w:pPr>
        <w:pStyle w:val="Lijstalinea"/>
        <w:jc w:val="both"/>
      </w:pPr>
    </w:p>
    <w:p w14:paraId="3EFF7726" w14:textId="6125B95F" w:rsidR="008D7C3B" w:rsidRPr="00B246A0" w:rsidRDefault="008D7C3B" w:rsidP="00743F48">
      <w:pPr>
        <w:pStyle w:val="Lijstalinea"/>
        <w:ind w:left="284" w:firstLine="142"/>
        <w:jc w:val="both"/>
        <w:rPr>
          <w:b/>
        </w:rPr>
      </w:pPr>
      <w:r w:rsidRPr="00B246A0">
        <w:rPr>
          <w:b/>
        </w:rPr>
        <w:t>Antwoord:</w:t>
      </w:r>
    </w:p>
    <w:p w14:paraId="2DBFAA6D" w14:textId="01608C94" w:rsidR="00F03501" w:rsidRDefault="00AF3F9A" w:rsidP="00743F48">
      <w:pPr>
        <w:pStyle w:val="Lijstalinea"/>
        <w:numPr>
          <w:ilvl w:val="1"/>
          <w:numId w:val="2"/>
        </w:numPr>
        <w:ind w:left="709" w:hanging="283"/>
        <w:jc w:val="both"/>
      </w:pPr>
      <w:r>
        <w:t xml:space="preserve">Dit kan, </w:t>
      </w:r>
      <w:r w:rsidR="00F03501">
        <w:t xml:space="preserve">op voorwaarde dat </w:t>
      </w:r>
      <w:r w:rsidR="001715E6">
        <w:t xml:space="preserve">het </w:t>
      </w:r>
      <w:r w:rsidR="00F03501">
        <w:t>geen autofinancieringsdossier betreft</w:t>
      </w:r>
      <w:r w:rsidR="002E2DCB">
        <w:t>.</w:t>
      </w:r>
    </w:p>
    <w:p w14:paraId="2AF9C350" w14:textId="77777777" w:rsidR="008D7C3B" w:rsidRDefault="008D7C3B" w:rsidP="008D7C3B">
      <w:pPr>
        <w:pStyle w:val="Lijstalinea"/>
        <w:ind w:left="1440"/>
        <w:jc w:val="both"/>
      </w:pPr>
    </w:p>
    <w:p w14:paraId="70876549" w14:textId="0BFE7AB0" w:rsidR="001B2BC2" w:rsidRPr="00E617C7" w:rsidRDefault="001B2BC2" w:rsidP="008549B1">
      <w:pPr>
        <w:pStyle w:val="Lijstalinea"/>
        <w:numPr>
          <w:ilvl w:val="0"/>
          <w:numId w:val="13"/>
        </w:numPr>
        <w:ind w:left="426" w:hanging="426"/>
        <w:jc w:val="both"/>
        <w:rPr>
          <w:b/>
        </w:rPr>
      </w:pPr>
      <w:r w:rsidRPr="00E617C7">
        <w:rPr>
          <w:b/>
        </w:rPr>
        <w:t>Kunnen afbraakwerken in aanmerking komen voor het instandhoudingsforfait ?   … of voor het strategisch forfait ?</w:t>
      </w:r>
    </w:p>
    <w:p w14:paraId="3CB56650" w14:textId="1622E3A1" w:rsidR="003C6D6F" w:rsidRDefault="003C6D6F" w:rsidP="003C6D6F">
      <w:pPr>
        <w:pStyle w:val="Lijstalinea"/>
        <w:jc w:val="both"/>
      </w:pPr>
    </w:p>
    <w:p w14:paraId="66689D8D" w14:textId="77777777" w:rsidR="008D7C3B" w:rsidRPr="00B246A0" w:rsidRDefault="003C6D6F" w:rsidP="00743F48">
      <w:pPr>
        <w:pStyle w:val="Lijstalinea"/>
        <w:ind w:left="284" w:firstLine="142"/>
        <w:jc w:val="both"/>
        <w:rPr>
          <w:b/>
        </w:rPr>
      </w:pPr>
      <w:r w:rsidRPr="00B246A0">
        <w:rPr>
          <w:b/>
        </w:rPr>
        <w:t>Antwoord:</w:t>
      </w:r>
      <w:r w:rsidR="00D51761" w:rsidRPr="00B246A0">
        <w:rPr>
          <w:b/>
        </w:rPr>
        <w:t xml:space="preserve"> </w:t>
      </w:r>
    </w:p>
    <w:p w14:paraId="538365CA" w14:textId="1927B3D1" w:rsidR="003C6D6F" w:rsidRDefault="008D7C3B" w:rsidP="00743F48">
      <w:pPr>
        <w:pStyle w:val="Lijstalinea"/>
        <w:ind w:left="426"/>
        <w:jc w:val="both"/>
      </w:pPr>
      <w:r>
        <w:t>Afbraakwerken kunnen enkel in rekening worden gebracht</w:t>
      </w:r>
      <w:r w:rsidR="0050699C">
        <w:t xml:space="preserve"> </w:t>
      </w:r>
      <w:r w:rsidR="00D846FF">
        <w:t xml:space="preserve">voor de investeringen </w:t>
      </w:r>
      <w:r w:rsidR="001715E6">
        <w:t>die in aanmerking zouden komen voor</w:t>
      </w:r>
      <w:r w:rsidR="00D846FF">
        <w:t xml:space="preserve"> </w:t>
      </w:r>
      <w:r w:rsidR="002220A8">
        <w:t>het strategisch</w:t>
      </w:r>
      <w:r w:rsidR="00D846FF">
        <w:t xml:space="preserve"> forfait.</w:t>
      </w:r>
      <w:r w:rsidR="00263D47">
        <w:t xml:space="preserve"> </w:t>
      </w:r>
    </w:p>
    <w:p w14:paraId="049F31CB" w14:textId="77777777" w:rsidR="001B2BC2" w:rsidRDefault="001B2BC2" w:rsidP="001B2BC2">
      <w:pPr>
        <w:pStyle w:val="Lijstalinea"/>
        <w:jc w:val="both"/>
      </w:pPr>
    </w:p>
    <w:p w14:paraId="53A0BFD6" w14:textId="0877E5C1" w:rsidR="001B2BC2" w:rsidRPr="00E617C7" w:rsidRDefault="001B2BC2" w:rsidP="008549B1">
      <w:pPr>
        <w:pStyle w:val="Lijstalinea"/>
        <w:numPr>
          <w:ilvl w:val="0"/>
          <w:numId w:val="13"/>
        </w:numPr>
        <w:ind w:left="426" w:hanging="426"/>
        <w:jc w:val="both"/>
        <w:rPr>
          <w:b/>
        </w:rPr>
      </w:pPr>
      <w:r w:rsidRPr="00E617C7">
        <w:rPr>
          <w:b/>
        </w:rPr>
        <w:t>De controlefiche en het aanwendingsplan word</w:t>
      </w:r>
      <w:r w:rsidR="006B0A95">
        <w:rPr>
          <w:b/>
        </w:rPr>
        <w:t>en</w:t>
      </w:r>
      <w:r w:rsidRPr="00E617C7">
        <w:rPr>
          <w:b/>
        </w:rPr>
        <w:t xml:space="preserve"> jaarlijks opgemaakt. Is de </w:t>
      </w:r>
      <w:r w:rsidR="006B0A95">
        <w:rPr>
          <w:b/>
        </w:rPr>
        <w:t>tweede</w:t>
      </w:r>
      <w:r w:rsidR="006B0A95" w:rsidRPr="00E617C7">
        <w:rPr>
          <w:b/>
        </w:rPr>
        <w:t xml:space="preserve"> </w:t>
      </w:r>
      <w:r w:rsidRPr="00E617C7">
        <w:rPr>
          <w:b/>
        </w:rPr>
        <w:t xml:space="preserve">opmaak nodig over de periode </w:t>
      </w:r>
      <w:r w:rsidR="006B0A95" w:rsidRPr="00E617C7">
        <w:rPr>
          <w:b/>
        </w:rPr>
        <w:t>201</w:t>
      </w:r>
      <w:r w:rsidR="006B0A95">
        <w:rPr>
          <w:b/>
        </w:rPr>
        <w:t>9</w:t>
      </w:r>
      <w:r w:rsidR="006B0A95" w:rsidRPr="00E617C7">
        <w:rPr>
          <w:b/>
        </w:rPr>
        <w:t xml:space="preserve"> </w:t>
      </w:r>
      <w:r w:rsidRPr="00E617C7">
        <w:rPr>
          <w:b/>
        </w:rPr>
        <w:t xml:space="preserve">tem </w:t>
      </w:r>
      <w:r w:rsidR="006B0A95">
        <w:rPr>
          <w:b/>
        </w:rPr>
        <w:t>2021</w:t>
      </w:r>
      <w:r w:rsidR="006B0A95" w:rsidRPr="00E617C7">
        <w:rPr>
          <w:b/>
        </w:rPr>
        <w:t xml:space="preserve"> </w:t>
      </w:r>
      <w:r w:rsidRPr="00E617C7">
        <w:rPr>
          <w:b/>
        </w:rPr>
        <w:t>?  M.a.w. na de jaarafsluiting 20</w:t>
      </w:r>
      <w:r w:rsidR="006B0A95">
        <w:rPr>
          <w:b/>
        </w:rPr>
        <w:t>21</w:t>
      </w:r>
      <w:r w:rsidRPr="00E617C7">
        <w:rPr>
          <w:b/>
        </w:rPr>
        <w:t xml:space="preserve"> ?</w:t>
      </w:r>
    </w:p>
    <w:p w14:paraId="1B49AB6F" w14:textId="744275FF" w:rsidR="003C6D6F" w:rsidRDefault="003C6D6F" w:rsidP="003C6D6F">
      <w:pPr>
        <w:pStyle w:val="Lijstalinea"/>
        <w:jc w:val="both"/>
      </w:pPr>
    </w:p>
    <w:p w14:paraId="0F6ABC33" w14:textId="232A0DD4" w:rsidR="0051688B" w:rsidRPr="00B246A0" w:rsidRDefault="003C6D6F" w:rsidP="00743F48">
      <w:pPr>
        <w:pStyle w:val="Lijstalinea"/>
        <w:ind w:left="426"/>
        <w:jc w:val="both"/>
        <w:rPr>
          <w:b/>
        </w:rPr>
      </w:pPr>
      <w:r w:rsidRPr="00B246A0">
        <w:rPr>
          <w:b/>
        </w:rPr>
        <w:t xml:space="preserve">Antwoord: </w:t>
      </w:r>
    </w:p>
    <w:p w14:paraId="2B2B7C87" w14:textId="47B1E75C" w:rsidR="0051688B" w:rsidRDefault="001715E6" w:rsidP="00743F48">
      <w:pPr>
        <w:pStyle w:val="Lijstalinea"/>
        <w:ind w:left="426"/>
        <w:jc w:val="both"/>
      </w:pPr>
      <w:r>
        <w:t xml:space="preserve">De </w:t>
      </w:r>
      <w:r w:rsidR="006B0A95">
        <w:t xml:space="preserve">tweede </w:t>
      </w:r>
      <w:r>
        <w:t xml:space="preserve">periode wordt beperkt tot </w:t>
      </w:r>
      <w:r w:rsidR="006B0A95">
        <w:t>2019</w:t>
      </w:r>
      <w:r>
        <w:t>-</w:t>
      </w:r>
      <w:r w:rsidR="006B0A95">
        <w:t>2021</w:t>
      </w:r>
      <w:r w:rsidR="0051688B">
        <w:t xml:space="preserve">, in te leveren tegen </w:t>
      </w:r>
      <w:r w:rsidR="00841B7B">
        <w:t>22</w:t>
      </w:r>
      <w:r w:rsidR="006B0A95">
        <w:t xml:space="preserve"> juni </w:t>
      </w:r>
      <w:r w:rsidR="0051688B">
        <w:t>202</w:t>
      </w:r>
      <w:r w:rsidR="006B0A95">
        <w:t>3</w:t>
      </w:r>
      <w:r w:rsidR="0051688B">
        <w:t>.</w:t>
      </w:r>
    </w:p>
    <w:p w14:paraId="53128261" w14:textId="77777777" w:rsidR="001B2BC2" w:rsidRDefault="001B2BC2" w:rsidP="001B2BC2">
      <w:pPr>
        <w:pStyle w:val="Lijstalinea"/>
        <w:jc w:val="both"/>
      </w:pPr>
    </w:p>
    <w:p w14:paraId="47DBE3A5" w14:textId="1CDFCDF8" w:rsidR="001B2BC2" w:rsidRPr="00E617C7" w:rsidRDefault="001B2BC2" w:rsidP="008549B1">
      <w:pPr>
        <w:pStyle w:val="Lijstalinea"/>
        <w:numPr>
          <w:ilvl w:val="0"/>
          <w:numId w:val="13"/>
        </w:numPr>
        <w:ind w:left="426" w:hanging="426"/>
        <w:jc w:val="both"/>
        <w:rPr>
          <w:b/>
        </w:rPr>
      </w:pPr>
      <w:r w:rsidRPr="00E617C7">
        <w:rPr>
          <w:b/>
        </w:rPr>
        <w:t xml:space="preserve">Bovendien zal de controle gebeuren door de inspecteurs van Volksgezondheid (FOD) omwille van hun historische ervaring met en dossierkennis van de ziekenhuizen ?  Of zal de controle gebeuren door het Agentschap Zorg </w:t>
      </w:r>
      <w:r w:rsidR="00101FB7">
        <w:rPr>
          <w:b/>
        </w:rPr>
        <w:t>en</w:t>
      </w:r>
      <w:r w:rsidRPr="00E617C7">
        <w:rPr>
          <w:b/>
        </w:rPr>
        <w:t xml:space="preserve"> Gezondheid ?</w:t>
      </w:r>
    </w:p>
    <w:p w14:paraId="4B4F48C5" w14:textId="2E1A5E58" w:rsidR="00D846FF" w:rsidRDefault="00D846FF" w:rsidP="00046154">
      <w:pPr>
        <w:pStyle w:val="Lijstalinea"/>
        <w:jc w:val="both"/>
      </w:pPr>
    </w:p>
    <w:p w14:paraId="0567E0C5" w14:textId="77777777" w:rsidR="00B246A0" w:rsidRPr="00B246A0" w:rsidRDefault="00046154" w:rsidP="00743F48">
      <w:pPr>
        <w:pStyle w:val="Lijstalinea"/>
        <w:ind w:left="426"/>
        <w:jc w:val="both"/>
        <w:rPr>
          <w:b/>
        </w:rPr>
      </w:pPr>
      <w:r w:rsidRPr="00B246A0">
        <w:rPr>
          <w:b/>
        </w:rPr>
        <w:t xml:space="preserve">Antwoord: </w:t>
      </w:r>
    </w:p>
    <w:p w14:paraId="44A220BF" w14:textId="6C359271" w:rsidR="00046154" w:rsidRDefault="00B246A0" w:rsidP="00743F48">
      <w:pPr>
        <w:pStyle w:val="Lijstalinea"/>
        <w:ind w:left="426"/>
        <w:jc w:val="both"/>
      </w:pPr>
      <w:r>
        <w:t>D</w:t>
      </w:r>
      <w:r w:rsidR="00911A9A">
        <w:t xml:space="preserve">e controle gebeurt door het VIPA in samenspraak met </w:t>
      </w:r>
      <w:r w:rsidR="0021244B">
        <w:t>zorginspectie.</w:t>
      </w:r>
    </w:p>
    <w:p w14:paraId="5E3FF97A" w14:textId="04ADF07E" w:rsidR="006D14A2" w:rsidRDefault="006D14A2" w:rsidP="00743F48">
      <w:pPr>
        <w:pStyle w:val="Lijstalinea"/>
        <w:ind w:left="426"/>
        <w:jc w:val="both"/>
      </w:pPr>
      <w:r>
        <w:br w:type="page"/>
      </w:r>
    </w:p>
    <w:p w14:paraId="1FEFC447" w14:textId="77777777" w:rsidR="00090A1C" w:rsidRDefault="00090A1C" w:rsidP="00743F48">
      <w:pPr>
        <w:pStyle w:val="Lijstalinea"/>
        <w:ind w:left="426"/>
        <w:jc w:val="both"/>
      </w:pPr>
    </w:p>
    <w:p w14:paraId="186C3B53" w14:textId="6D4E48D0" w:rsidR="00090A1C" w:rsidRDefault="00090A1C" w:rsidP="00090A1C">
      <w:pPr>
        <w:pStyle w:val="Lijstalinea"/>
        <w:numPr>
          <w:ilvl w:val="0"/>
          <w:numId w:val="13"/>
        </w:numPr>
        <w:ind w:left="426" w:hanging="426"/>
        <w:jc w:val="both"/>
        <w:rPr>
          <w:b/>
        </w:rPr>
      </w:pPr>
      <w:r>
        <w:rPr>
          <w:b/>
        </w:rPr>
        <w:t>Kan u meer uitleg geven over verdeling van de kostenplaatsen?</w:t>
      </w:r>
    </w:p>
    <w:p w14:paraId="6F4C53E9" w14:textId="5E3C17B1" w:rsidR="00090A1C" w:rsidRDefault="00090A1C" w:rsidP="00090A1C">
      <w:pPr>
        <w:pStyle w:val="Lijstalinea"/>
        <w:ind w:left="426"/>
        <w:jc w:val="both"/>
        <w:rPr>
          <w:b/>
        </w:rPr>
      </w:pPr>
    </w:p>
    <w:p w14:paraId="54216C53" w14:textId="40580198" w:rsidR="00090A1C" w:rsidRPr="00090A1C" w:rsidRDefault="00090A1C" w:rsidP="00090A1C">
      <w:pPr>
        <w:pStyle w:val="Lijstalinea"/>
        <w:spacing w:after="160" w:line="259" w:lineRule="auto"/>
        <w:ind w:left="426"/>
        <w:contextualSpacing/>
        <w:rPr>
          <w:rStyle w:val="Bodytekst"/>
          <w:rFonts w:asciiTheme="minorHAnsi" w:hAnsiTheme="minorHAnsi" w:cstheme="minorHAnsi"/>
        </w:rPr>
      </w:pPr>
      <w:r w:rsidRPr="00090A1C">
        <w:rPr>
          <w:rStyle w:val="Bodytekst"/>
          <w:rFonts w:asciiTheme="minorHAnsi" w:hAnsiTheme="minorHAnsi" w:cstheme="minorHAnsi"/>
        </w:rPr>
        <w:t>De algemene regel is de opname van de definitieve kostenplaatsen, met uitsluiting van (bron: FINHOSTA</w:t>
      </w:r>
      <w:r w:rsidRPr="00090A1C">
        <w:rPr>
          <w:rStyle w:val="Voetnootmarkering"/>
          <w:rFonts w:asciiTheme="minorHAnsi" w:hAnsiTheme="minorHAnsi" w:cstheme="minorHAnsi"/>
        </w:rPr>
        <w:footnoteReference w:id="2"/>
      </w:r>
      <w:r w:rsidRPr="00090A1C">
        <w:rPr>
          <w:rStyle w:val="Bodytekst"/>
          <w:rFonts w:asciiTheme="minorHAnsi" w:hAnsiTheme="minorHAnsi" w:cstheme="minorHAnsi"/>
        </w:rPr>
        <w:t>):</w:t>
      </w:r>
    </w:p>
    <w:p w14:paraId="21457D9A" w14:textId="77777777" w:rsidR="00090A1C" w:rsidRPr="00090A1C" w:rsidRDefault="00090A1C" w:rsidP="00090A1C">
      <w:pPr>
        <w:pStyle w:val="Lijstalinea"/>
        <w:numPr>
          <w:ilvl w:val="1"/>
          <w:numId w:val="27"/>
        </w:numPr>
        <w:spacing w:after="160" w:line="259" w:lineRule="auto"/>
        <w:ind w:left="1146"/>
        <w:contextualSpacing/>
        <w:rPr>
          <w:rStyle w:val="Bodytekst"/>
          <w:rFonts w:asciiTheme="minorHAnsi" w:hAnsiTheme="minorHAnsi" w:cstheme="minorHAnsi"/>
        </w:rPr>
      </w:pPr>
      <w:r w:rsidRPr="00090A1C">
        <w:rPr>
          <w:rStyle w:val="Bodytekst"/>
          <w:rFonts w:asciiTheme="minorHAnsi" w:hAnsiTheme="minorHAnsi" w:cstheme="minorHAnsi"/>
        </w:rPr>
        <w:t>Consultaties (analytische rekeningen 840-899);</w:t>
      </w:r>
    </w:p>
    <w:p w14:paraId="01F0416F" w14:textId="77777777" w:rsidR="00090A1C" w:rsidRPr="00090A1C" w:rsidRDefault="00090A1C" w:rsidP="00090A1C">
      <w:pPr>
        <w:pStyle w:val="Lijstalinea"/>
        <w:numPr>
          <w:ilvl w:val="1"/>
          <w:numId w:val="27"/>
        </w:numPr>
        <w:spacing w:after="160" w:line="259" w:lineRule="auto"/>
        <w:ind w:left="1146"/>
        <w:contextualSpacing/>
        <w:rPr>
          <w:rStyle w:val="Bodytekst"/>
          <w:rFonts w:asciiTheme="minorHAnsi" w:hAnsiTheme="minorHAnsi" w:cstheme="minorHAnsi"/>
        </w:rPr>
      </w:pPr>
      <w:r w:rsidRPr="00090A1C">
        <w:rPr>
          <w:rStyle w:val="Bodytekst"/>
          <w:rFonts w:asciiTheme="minorHAnsi" w:hAnsiTheme="minorHAnsi" w:cstheme="minorHAnsi"/>
        </w:rPr>
        <w:t>3.3 niet-ziekenhuisactiviteiten (900-999);</w:t>
      </w:r>
    </w:p>
    <w:p w14:paraId="790AF38C" w14:textId="45E53E5F" w:rsidR="00090A1C" w:rsidRDefault="00090A1C" w:rsidP="00090A1C">
      <w:pPr>
        <w:pStyle w:val="Lijstalinea"/>
        <w:numPr>
          <w:ilvl w:val="1"/>
          <w:numId w:val="27"/>
        </w:numPr>
        <w:spacing w:after="160" w:line="259" w:lineRule="auto"/>
        <w:ind w:left="1146"/>
        <w:contextualSpacing/>
        <w:rPr>
          <w:rStyle w:val="Bodytekst"/>
          <w:rFonts w:asciiTheme="minorHAnsi" w:hAnsiTheme="minorHAnsi" w:cstheme="minorHAnsi"/>
        </w:rPr>
      </w:pPr>
      <w:r w:rsidRPr="00090A1C">
        <w:rPr>
          <w:rStyle w:val="Bodytekst"/>
          <w:rFonts w:asciiTheme="minorHAnsi" w:hAnsiTheme="minorHAnsi" w:cstheme="minorHAnsi"/>
        </w:rPr>
        <w:t>Het deel gefinancierd door andere overheden (in hoofdzaak het federale deel A1/A3 onder BFM)</w:t>
      </w:r>
    </w:p>
    <w:p w14:paraId="0696AEA3" w14:textId="77777777" w:rsidR="00090A1C" w:rsidRPr="00090A1C" w:rsidRDefault="00090A1C" w:rsidP="00090A1C">
      <w:pPr>
        <w:pStyle w:val="Lijstalinea"/>
        <w:spacing w:after="160" w:line="259" w:lineRule="auto"/>
        <w:ind w:left="1146"/>
        <w:contextualSpacing/>
        <w:rPr>
          <w:rStyle w:val="Bodytekst"/>
          <w:rFonts w:asciiTheme="minorHAnsi" w:hAnsiTheme="minorHAnsi" w:cstheme="minorHAnsi"/>
        </w:rPr>
      </w:pPr>
    </w:p>
    <w:p w14:paraId="342E32DB" w14:textId="20FCCA09" w:rsidR="00090A1C" w:rsidRPr="00090A1C" w:rsidRDefault="00090A1C" w:rsidP="00090A1C">
      <w:pPr>
        <w:pStyle w:val="Lijstalinea"/>
        <w:numPr>
          <w:ilvl w:val="0"/>
          <w:numId w:val="28"/>
        </w:numPr>
        <w:ind w:left="1146"/>
        <w:rPr>
          <w:rStyle w:val="Bodytekst"/>
          <w:rFonts w:asciiTheme="minorHAnsi" w:hAnsiTheme="minorHAnsi" w:cstheme="minorHAnsi"/>
        </w:rPr>
      </w:pPr>
      <w:r w:rsidRPr="00090A1C">
        <w:rPr>
          <w:rStyle w:val="Bodytekst"/>
          <w:rFonts w:asciiTheme="minorHAnsi" w:hAnsiTheme="minorHAnsi" w:cstheme="minorHAnsi"/>
        </w:rPr>
        <w:t xml:space="preserve">Wat </w:t>
      </w:r>
      <w:proofErr w:type="spellStart"/>
      <w:r w:rsidRPr="00090A1C">
        <w:rPr>
          <w:rStyle w:val="Bodytekst"/>
          <w:rFonts w:asciiTheme="minorHAnsi" w:hAnsiTheme="minorHAnsi" w:cstheme="minorHAnsi"/>
        </w:rPr>
        <w:t>bvb</w:t>
      </w:r>
      <w:proofErr w:type="spellEnd"/>
      <w:r w:rsidRPr="00090A1C">
        <w:rPr>
          <w:rStyle w:val="Bodytekst"/>
          <w:rFonts w:asciiTheme="minorHAnsi" w:hAnsiTheme="minorHAnsi" w:cstheme="minorHAnsi"/>
        </w:rPr>
        <w:t>. wel mag:</w:t>
      </w:r>
    </w:p>
    <w:p w14:paraId="6B61C2D0" w14:textId="77777777" w:rsidR="00090A1C" w:rsidRPr="00090A1C" w:rsidRDefault="00090A1C" w:rsidP="00090A1C">
      <w:pPr>
        <w:pStyle w:val="Lijstalinea"/>
        <w:numPr>
          <w:ilvl w:val="1"/>
          <w:numId w:val="27"/>
        </w:numPr>
        <w:spacing w:after="160" w:line="259" w:lineRule="auto"/>
        <w:ind w:left="1146"/>
        <w:contextualSpacing/>
        <w:rPr>
          <w:rStyle w:val="Bodytekst"/>
          <w:rFonts w:asciiTheme="minorHAnsi" w:hAnsiTheme="minorHAnsi" w:cstheme="minorHAnsi"/>
        </w:rPr>
      </w:pPr>
      <w:r w:rsidRPr="00090A1C">
        <w:rPr>
          <w:rStyle w:val="Bodytekst"/>
          <w:rFonts w:asciiTheme="minorHAnsi" w:hAnsiTheme="minorHAnsi" w:cstheme="minorHAnsi"/>
        </w:rPr>
        <w:t>Verpleegdiensten (200-&gt;490) -&gt; voor 100% mee op te nemen in de verantwoording  (</w:t>
      </w:r>
      <w:proofErr w:type="spellStart"/>
      <w:r w:rsidRPr="00090A1C">
        <w:rPr>
          <w:rStyle w:val="Bodytekst"/>
          <w:rFonts w:asciiTheme="minorHAnsi" w:hAnsiTheme="minorHAnsi" w:cstheme="minorHAnsi"/>
        </w:rPr>
        <w:t>incl</w:t>
      </w:r>
      <w:proofErr w:type="spellEnd"/>
      <w:r w:rsidRPr="00090A1C">
        <w:rPr>
          <w:rStyle w:val="Bodytekst"/>
          <w:rFonts w:asciiTheme="minorHAnsi" w:hAnsiTheme="minorHAnsi" w:cstheme="minorHAnsi"/>
        </w:rPr>
        <w:t xml:space="preserve"> de omslag van gemeenschappelijke en hulpkostenplaatsen)</w:t>
      </w:r>
    </w:p>
    <w:p w14:paraId="207B9BCD" w14:textId="77777777" w:rsidR="00090A1C" w:rsidRPr="00090A1C" w:rsidRDefault="00090A1C" w:rsidP="00090A1C">
      <w:pPr>
        <w:pStyle w:val="Lijstalinea"/>
        <w:numPr>
          <w:ilvl w:val="1"/>
          <w:numId w:val="27"/>
        </w:numPr>
        <w:spacing w:after="160" w:line="259" w:lineRule="auto"/>
        <w:ind w:left="1146"/>
        <w:contextualSpacing/>
        <w:rPr>
          <w:rStyle w:val="Bodytekst"/>
          <w:rFonts w:asciiTheme="minorHAnsi" w:hAnsiTheme="minorHAnsi" w:cstheme="minorHAnsi"/>
        </w:rPr>
      </w:pPr>
      <w:r w:rsidRPr="00090A1C">
        <w:rPr>
          <w:rStyle w:val="Bodytekst"/>
          <w:rFonts w:asciiTheme="minorHAnsi" w:hAnsiTheme="minorHAnsi" w:cstheme="minorHAnsi"/>
        </w:rPr>
        <w:t xml:space="preserve">Medisch Technische diensten (500-&gt;710) -&gt; voor 100% mee op te nemen in de verantwoording te nemen (incl. de omslag van gemeenschappelijke en hulpkostenplaatsen) </w:t>
      </w:r>
    </w:p>
    <w:p w14:paraId="4420F02F" w14:textId="712AC7D0" w:rsidR="00E150A6" w:rsidRDefault="00090A1C" w:rsidP="00E150A6">
      <w:pPr>
        <w:pStyle w:val="Lijstalinea"/>
        <w:numPr>
          <w:ilvl w:val="1"/>
          <w:numId w:val="27"/>
        </w:numPr>
        <w:spacing w:after="160" w:line="259" w:lineRule="auto"/>
        <w:ind w:left="1146"/>
        <w:contextualSpacing/>
        <w:rPr>
          <w:rStyle w:val="Bodytekst"/>
          <w:rFonts w:asciiTheme="minorHAnsi" w:hAnsiTheme="minorHAnsi" w:cstheme="minorHAnsi"/>
        </w:rPr>
      </w:pPr>
      <w:r w:rsidRPr="00090A1C">
        <w:rPr>
          <w:rStyle w:val="Bodytekst"/>
          <w:rFonts w:asciiTheme="minorHAnsi" w:hAnsiTheme="minorHAnsi" w:cstheme="minorHAnsi"/>
        </w:rPr>
        <w:t>Apotheek (830) -&gt; 100% mee op te nemen in de verantwoording (incl. de omslag van gemeenschappelijke en hulpkostenplaatsen)</w:t>
      </w:r>
    </w:p>
    <w:p w14:paraId="11405EA4" w14:textId="77777777" w:rsidR="00E150A6" w:rsidRPr="00E150A6" w:rsidRDefault="00E150A6" w:rsidP="00E150A6">
      <w:pPr>
        <w:spacing w:after="160" w:line="259" w:lineRule="auto"/>
        <w:contextualSpacing/>
        <w:rPr>
          <w:rStyle w:val="Bodytekst"/>
          <w:rFonts w:asciiTheme="minorHAnsi" w:hAnsiTheme="minorHAnsi" w:cstheme="minorHAnsi"/>
        </w:rPr>
      </w:pPr>
    </w:p>
    <w:p w14:paraId="4265B97E" w14:textId="77777777" w:rsidR="00090A1C" w:rsidRPr="00090A1C" w:rsidRDefault="00090A1C" w:rsidP="00090A1C">
      <w:pPr>
        <w:pStyle w:val="Lijstalinea"/>
        <w:ind w:left="426"/>
        <w:jc w:val="both"/>
        <w:rPr>
          <w:rFonts w:asciiTheme="minorHAnsi" w:hAnsiTheme="minorHAnsi" w:cstheme="minorHAnsi"/>
          <w:lang w:val="nl-NL"/>
        </w:rPr>
      </w:pPr>
    </w:p>
    <w:p w14:paraId="5DA88B71" w14:textId="25FA4A70" w:rsidR="00F6351A" w:rsidRDefault="00F6351A" w:rsidP="00046154">
      <w:pPr>
        <w:pStyle w:val="Lijstalinea"/>
        <w:jc w:val="both"/>
      </w:pPr>
    </w:p>
    <w:p w14:paraId="0E06831B" w14:textId="2AE0632C" w:rsidR="00F6351A" w:rsidRDefault="00F6351A" w:rsidP="00046154">
      <w:pPr>
        <w:pStyle w:val="Lijstalinea"/>
        <w:jc w:val="both"/>
      </w:pPr>
    </w:p>
    <w:p w14:paraId="70B458E8" w14:textId="7BC864CB" w:rsidR="00606BCE" w:rsidRDefault="00606BCE" w:rsidP="00606BCE">
      <w:pPr>
        <w:jc w:val="right"/>
      </w:pPr>
    </w:p>
    <w:sectPr w:rsidR="00606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FB06" w14:textId="77777777" w:rsidR="00D17B56" w:rsidRDefault="00D17B56" w:rsidP="007F3C8B">
      <w:r>
        <w:separator/>
      </w:r>
    </w:p>
  </w:endnote>
  <w:endnote w:type="continuationSeparator" w:id="0">
    <w:p w14:paraId="6280040B" w14:textId="77777777" w:rsidR="00D17B56" w:rsidRDefault="00D17B56" w:rsidP="007F3C8B">
      <w:r>
        <w:continuationSeparator/>
      </w:r>
    </w:p>
  </w:endnote>
  <w:endnote w:type="continuationNotice" w:id="1">
    <w:p w14:paraId="6CE75D38" w14:textId="77777777" w:rsidR="00D17B56" w:rsidRDefault="00D1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4815"/>
      <w:docPartObj>
        <w:docPartGallery w:val="Page Numbers (Bottom of Page)"/>
        <w:docPartUnique/>
      </w:docPartObj>
    </w:sdtPr>
    <w:sdtEndPr/>
    <w:sdtContent>
      <w:p w14:paraId="368FFA49" w14:textId="45CF308B" w:rsidR="00F15C97" w:rsidRDefault="00F15C97">
        <w:pPr>
          <w:pStyle w:val="Voettekst"/>
          <w:jc w:val="right"/>
        </w:pPr>
        <w:r>
          <w:t>/</w:t>
        </w:r>
        <w:r>
          <w:fldChar w:fldCharType="begin"/>
        </w:r>
        <w:r>
          <w:instrText>PAGE   \* MERGEFORMAT</w:instrText>
        </w:r>
        <w:r>
          <w:fldChar w:fldCharType="separate"/>
        </w:r>
        <w:r>
          <w:rPr>
            <w:lang w:val="nl-NL"/>
          </w:rPr>
          <w:t>2</w:t>
        </w:r>
        <w:r>
          <w:fldChar w:fldCharType="end"/>
        </w:r>
      </w:p>
    </w:sdtContent>
  </w:sdt>
  <w:p w14:paraId="3D8BFEA0" w14:textId="77777777" w:rsidR="00F15C97" w:rsidRDefault="00F15C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2196" w14:textId="77777777" w:rsidR="00D17B56" w:rsidRDefault="00D17B56" w:rsidP="007F3C8B">
      <w:r>
        <w:separator/>
      </w:r>
    </w:p>
  </w:footnote>
  <w:footnote w:type="continuationSeparator" w:id="0">
    <w:p w14:paraId="0A135D09" w14:textId="77777777" w:rsidR="00D17B56" w:rsidRDefault="00D17B56" w:rsidP="007F3C8B">
      <w:r>
        <w:continuationSeparator/>
      </w:r>
    </w:p>
  </w:footnote>
  <w:footnote w:type="continuationNotice" w:id="1">
    <w:p w14:paraId="1AD7E9DB" w14:textId="77777777" w:rsidR="00D17B56" w:rsidRDefault="00D17B56"/>
  </w:footnote>
  <w:footnote w:id="2">
    <w:p w14:paraId="56F8240C" w14:textId="77777777" w:rsidR="00090A1C" w:rsidRDefault="00090A1C" w:rsidP="00090A1C">
      <w:pPr>
        <w:pStyle w:val="Voetnoottekst"/>
      </w:pPr>
      <w:r>
        <w:rPr>
          <w:rStyle w:val="Voetnootmarkering"/>
        </w:rPr>
        <w:footnoteRef/>
      </w:r>
      <w:r>
        <w:t xml:space="preserve"> </w:t>
      </w:r>
      <w:hyperlink r:id="rId1" w:history="1">
        <w:r w:rsidRPr="003B3AF4">
          <w:rPr>
            <w:rStyle w:val="Hyperlink"/>
          </w:rPr>
          <w:t>https://www.health.belgium.be/nl/gezondheid/organisatie-van-de-gezondheidszorg/ziekenhuizen/financiering-ziekenhuizen/finhosta</w:t>
        </w:r>
      </w:hyperlink>
    </w:p>
    <w:p w14:paraId="088BC13F" w14:textId="77777777" w:rsidR="00090A1C" w:rsidRPr="002F428A" w:rsidRDefault="00090A1C" w:rsidP="00090A1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6C50" w14:textId="42BA8186" w:rsidR="00F15C97" w:rsidRDefault="00F15C97">
    <w:pPr>
      <w:pStyle w:val="Koptekst"/>
    </w:pPr>
    <w:r>
      <w:t>Vragen bij nota boekhoudkundige verwerking + controle staatssteun m</w:t>
    </w:r>
    <w:r w:rsidR="00A160E1">
      <w:t>.</w:t>
    </w:r>
    <w:r>
      <w:t>b</w:t>
    </w:r>
    <w:r w:rsidR="00A160E1">
      <w:t>.</w:t>
    </w:r>
    <w:r>
      <w:t>t</w:t>
    </w:r>
    <w:r w:rsidR="00A160E1">
      <w:t>.</w:t>
    </w:r>
    <w:r>
      <w:t xml:space="preserve"> instandhoudingsforfait en strategisch forfait ziekenhuizen – laatst bijgewerkt op: </w:t>
    </w:r>
    <w:r w:rsidR="006B0A95">
      <w:t>1</w:t>
    </w:r>
    <w:r w:rsidR="00776C5E">
      <w:t>7</w:t>
    </w:r>
    <w:r w:rsidR="00A74693">
      <w:t>/0</w:t>
    </w:r>
    <w:r w:rsidR="003A2380">
      <w:t>3</w:t>
    </w:r>
    <w:r w:rsidR="00A74693">
      <w:t>/202</w:t>
    </w:r>
    <w:r w:rsidR="003A2380">
      <w:t>3</w:t>
    </w:r>
  </w:p>
  <w:p w14:paraId="74EE00C3" w14:textId="77777777" w:rsidR="00F15C97" w:rsidRDefault="00F15C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60E"/>
    <w:multiLevelType w:val="hybridMultilevel"/>
    <w:tmpl w:val="E17CDFF2"/>
    <w:lvl w:ilvl="0" w:tplc="906E5B36">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5F0161"/>
    <w:multiLevelType w:val="hybridMultilevel"/>
    <w:tmpl w:val="235828B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0204E78"/>
    <w:multiLevelType w:val="hybridMultilevel"/>
    <w:tmpl w:val="9C887DD8"/>
    <w:lvl w:ilvl="0" w:tplc="9976E15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17978AC"/>
    <w:multiLevelType w:val="hybridMultilevel"/>
    <w:tmpl w:val="7054B8B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4151088"/>
    <w:multiLevelType w:val="hybridMultilevel"/>
    <w:tmpl w:val="D396D41C"/>
    <w:lvl w:ilvl="0" w:tplc="FA903322">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57741F"/>
    <w:multiLevelType w:val="hybridMultilevel"/>
    <w:tmpl w:val="44EEEC6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15E34B32"/>
    <w:multiLevelType w:val="hybridMultilevel"/>
    <w:tmpl w:val="7862DF76"/>
    <w:lvl w:ilvl="0" w:tplc="08A889B6">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87F7B21"/>
    <w:multiLevelType w:val="hybridMultilevel"/>
    <w:tmpl w:val="CB5400B6"/>
    <w:lvl w:ilvl="0" w:tplc="8A821814">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CC5C65"/>
    <w:multiLevelType w:val="hybridMultilevel"/>
    <w:tmpl w:val="BC4093D2"/>
    <w:lvl w:ilvl="0" w:tplc="3A82FCC8">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CDF4385"/>
    <w:multiLevelType w:val="hybridMultilevel"/>
    <w:tmpl w:val="70BC71E8"/>
    <w:lvl w:ilvl="0" w:tplc="6C187240">
      <w:start w:val="18"/>
      <w:numFmt w:val="bullet"/>
      <w:lvlText w:val=""/>
      <w:lvlJc w:val="left"/>
      <w:pPr>
        <w:ind w:left="1440" w:hanging="360"/>
      </w:pPr>
      <w:rPr>
        <w:rFonts w:ascii="Wingdings" w:eastAsiaTheme="minorHAnsi" w:hAnsi="Wingdings" w:cstheme="minorHAns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4353F4A"/>
    <w:multiLevelType w:val="hybridMultilevel"/>
    <w:tmpl w:val="7A34A64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9E43823"/>
    <w:multiLevelType w:val="hybridMultilevel"/>
    <w:tmpl w:val="906AD262"/>
    <w:lvl w:ilvl="0" w:tplc="6BDC6FA6">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B6D2C6D"/>
    <w:multiLevelType w:val="hybridMultilevel"/>
    <w:tmpl w:val="22EE47E8"/>
    <w:lvl w:ilvl="0" w:tplc="1FF8DD94">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2DD7500A"/>
    <w:multiLevelType w:val="hybridMultilevel"/>
    <w:tmpl w:val="3558BD96"/>
    <w:lvl w:ilvl="0" w:tplc="74DA45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7C25E6"/>
    <w:multiLevelType w:val="hybridMultilevel"/>
    <w:tmpl w:val="203604B4"/>
    <w:lvl w:ilvl="0" w:tplc="4A0893AC">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09857C0"/>
    <w:multiLevelType w:val="hybridMultilevel"/>
    <w:tmpl w:val="5A920C3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0AB2D1B"/>
    <w:multiLevelType w:val="hybridMultilevel"/>
    <w:tmpl w:val="39F4B94A"/>
    <w:lvl w:ilvl="0" w:tplc="255EEA0A">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9FD2F8E"/>
    <w:multiLevelType w:val="hybridMultilevel"/>
    <w:tmpl w:val="1EE6A4BA"/>
    <w:lvl w:ilvl="0" w:tplc="894C9A32">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69C77A0"/>
    <w:multiLevelType w:val="hybridMultilevel"/>
    <w:tmpl w:val="258E38CA"/>
    <w:lvl w:ilvl="0" w:tplc="76EA5138">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AE67274"/>
    <w:multiLevelType w:val="hybridMultilevel"/>
    <w:tmpl w:val="1D42BC8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B93686A"/>
    <w:multiLevelType w:val="hybridMultilevel"/>
    <w:tmpl w:val="D2349870"/>
    <w:lvl w:ilvl="0" w:tplc="08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D73563F"/>
    <w:multiLevelType w:val="hybridMultilevel"/>
    <w:tmpl w:val="D63A2DAE"/>
    <w:lvl w:ilvl="0" w:tplc="9D346E0E">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DEA373B"/>
    <w:multiLevelType w:val="hybridMultilevel"/>
    <w:tmpl w:val="00BEB8F4"/>
    <w:lvl w:ilvl="0" w:tplc="04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7590546"/>
    <w:multiLevelType w:val="hybridMultilevel"/>
    <w:tmpl w:val="FBB05CC0"/>
    <w:lvl w:ilvl="0" w:tplc="A490B6EC">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AAC1A92"/>
    <w:multiLevelType w:val="hybridMultilevel"/>
    <w:tmpl w:val="0AB66C52"/>
    <w:lvl w:ilvl="0" w:tplc="4A0893AC">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1035B27"/>
    <w:multiLevelType w:val="hybridMultilevel"/>
    <w:tmpl w:val="EF60D4D8"/>
    <w:lvl w:ilvl="0" w:tplc="B82038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C04CF4"/>
    <w:multiLevelType w:val="hybridMultilevel"/>
    <w:tmpl w:val="E8ACD41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6"/>
  </w:num>
  <w:num w:numId="4">
    <w:abstractNumId w:val="5"/>
  </w:num>
  <w:num w:numId="5">
    <w:abstractNumId w:val="19"/>
  </w:num>
  <w:num w:numId="6">
    <w:abstractNumId w:val="1"/>
  </w:num>
  <w:num w:numId="7">
    <w:abstractNumId w:val="22"/>
  </w:num>
  <w:num w:numId="8">
    <w:abstractNumId w:val="16"/>
  </w:num>
  <w:num w:numId="9">
    <w:abstractNumId w:val="20"/>
  </w:num>
  <w:num w:numId="10">
    <w:abstractNumId w:val="3"/>
  </w:num>
  <w:num w:numId="11">
    <w:abstractNumId w:val="15"/>
  </w:num>
  <w:num w:numId="12">
    <w:abstractNumId w:val="8"/>
  </w:num>
  <w:num w:numId="13">
    <w:abstractNumId w:val="16"/>
  </w:num>
  <w:num w:numId="14">
    <w:abstractNumId w:val="21"/>
  </w:num>
  <w:num w:numId="15">
    <w:abstractNumId w:val="0"/>
  </w:num>
  <w:num w:numId="16">
    <w:abstractNumId w:val="23"/>
  </w:num>
  <w:num w:numId="17">
    <w:abstractNumId w:val="14"/>
  </w:num>
  <w:num w:numId="18">
    <w:abstractNumId w:val="7"/>
  </w:num>
  <w:num w:numId="19">
    <w:abstractNumId w:val="26"/>
  </w:num>
  <w:num w:numId="20">
    <w:abstractNumId w:val="10"/>
  </w:num>
  <w:num w:numId="21">
    <w:abstractNumId w:val="24"/>
  </w:num>
  <w:num w:numId="22">
    <w:abstractNumId w:val="4"/>
  </w:num>
  <w:num w:numId="23">
    <w:abstractNumId w:val="17"/>
  </w:num>
  <w:num w:numId="24">
    <w:abstractNumId w:val="11"/>
  </w:num>
  <w:num w:numId="25">
    <w:abstractNumId w:val="12"/>
  </w:num>
  <w:num w:numId="26">
    <w:abstractNumId w:val="13"/>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C2"/>
    <w:rsid w:val="00005D80"/>
    <w:rsid w:val="00037E5F"/>
    <w:rsid w:val="00046154"/>
    <w:rsid w:val="00054A09"/>
    <w:rsid w:val="00063C79"/>
    <w:rsid w:val="00075762"/>
    <w:rsid w:val="00090A1C"/>
    <w:rsid w:val="00095EC1"/>
    <w:rsid w:val="000A7AC2"/>
    <w:rsid w:val="000D0899"/>
    <w:rsid w:val="000D389C"/>
    <w:rsid w:val="000D6F72"/>
    <w:rsid w:val="000E4D89"/>
    <w:rsid w:val="00101FB7"/>
    <w:rsid w:val="001208DA"/>
    <w:rsid w:val="001213A3"/>
    <w:rsid w:val="00134D5C"/>
    <w:rsid w:val="00153162"/>
    <w:rsid w:val="001643AD"/>
    <w:rsid w:val="001715E6"/>
    <w:rsid w:val="00184423"/>
    <w:rsid w:val="00185E8E"/>
    <w:rsid w:val="00196FB8"/>
    <w:rsid w:val="001B2BC2"/>
    <w:rsid w:val="001C01C4"/>
    <w:rsid w:val="001E3D91"/>
    <w:rsid w:val="0021244B"/>
    <w:rsid w:val="002220A8"/>
    <w:rsid w:val="00241871"/>
    <w:rsid w:val="002568F5"/>
    <w:rsid w:val="00263D47"/>
    <w:rsid w:val="0028085C"/>
    <w:rsid w:val="002925D2"/>
    <w:rsid w:val="002936DD"/>
    <w:rsid w:val="002A3484"/>
    <w:rsid w:val="002A43BF"/>
    <w:rsid w:val="002C24B2"/>
    <w:rsid w:val="002C30AF"/>
    <w:rsid w:val="002E08D2"/>
    <w:rsid w:val="002E2DCB"/>
    <w:rsid w:val="002E661B"/>
    <w:rsid w:val="002F229E"/>
    <w:rsid w:val="002F5B18"/>
    <w:rsid w:val="003415ED"/>
    <w:rsid w:val="00361989"/>
    <w:rsid w:val="00380AD3"/>
    <w:rsid w:val="00394280"/>
    <w:rsid w:val="003A2380"/>
    <w:rsid w:val="003A62D2"/>
    <w:rsid w:val="003C6D6F"/>
    <w:rsid w:val="003D21BF"/>
    <w:rsid w:val="00400BDA"/>
    <w:rsid w:val="00406509"/>
    <w:rsid w:val="00406F8F"/>
    <w:rsid w:val="0043040D"/>
    <w:rsid w:val="00453E61"/>
    <w:rsid w:val="004576BD"/>
    <w:rsid w:val="004866B6"/>
    <w:rsid w:val="004A37C9"/>
    <w:rsid w:val="004D5475"/>
    <w:rsid w:val="004E7CDE"/>
    <w:rsid w:val="0050699C"/>
    <w:rsid w:val="0051688B"/>
    <w:rsid w:val="00517A56"/>
    <w:rsid w:val="0052179C"/>
    <w:rsid w:val="00524030"/>
    <w:rsid w:val="005551E4"/>
    <w:rsid w:val="00564BC4"/>
    <w:rsid w:val="0056536E"/>
    <w:rsid w:val="00572489"/>
    <w:rsid w:val="005736C0"/>
    <w:rsid w:val="00587ABD"/>
    <w:rsid w:val="00593190"/>
    <w:rsid w:val="005A0EAF"/>
    <w:rsid w:val="005A149D"/>
    <w:rsid w:val="005A1928"/>
    <w:rsid w:val="00600160"/>
    <w:rsid w:val="00606BCE"/>
    <w:rsid w:val="00643FFD"/>
    <w:rsid w:val="00673D93"/>
    <w:rsid w:val="006A449C"/>
    <w:rsid w:val="006A6CFC"/>
    <w:rsid w:val="006B0A95"/>
    <w:rsid w:val="006B3628"/>
    <w:rsid w:val="006B46F2"/>
    <w:rsid w:val="006B5BE1"/>
    <w:rsid w:val="006B6179"/>
    <w:rsid w:val="006C31C0"/>
    <w:rsid w:val="006C39DE"/>
    <w:rsid w:val="006D14A2"/>
    <w:rsid w:val="00715C4B"/>
    <w:rsid w:val="0073191B"/>
    <w:rsid w:val="00743F48"/>
    <w:rsid w:val="00776C5E"/>
    <w:rsid w:val="00781A18"/>
    <w:rsid w:val="007A4F37"/>
    <w:rsid w:val="007B57E5"/>
    <w:rsid w:val="007C7D31"/>
    <w:rsid w:val="007D0136"/>
    <w:rsid w:val="007E54B2"/>
    <w:rsid w:val="007F3C8B"/>
    <w:rsid w:val="007F4E3F"/>
    <w:rsid w:val="008166C6"/>
    <w:rsid w:val="00824A23"/>
    <w:rsid w:val="008334C4"/>
    <w:rsid w:val="00840552"/>
    <w:rsid w:val="00841B7B"/>
    <w:rsid w:val="00846135"/>
    <w:rsid w:val="00850EFC"/>
    <w:rsid w:val="008549B1"/>
    <w:rsid w:val="008562E6"/>
    <w:rsid w:val="00865CE5"/>
    <w:rsid w:val="00871477"/>
    <w:rsid w:val="00876251"/>
    <w:rsid w:val="00883D35"/>
    <w:rsid w:val="00894CCA"/>
    <w:rsid w:val="008A72C9"/>
    <w:rsid w:val="008C0DE9"/>
    <w:rsid w:val="008D14E7"/>
    <w:rsid w:val="008D7C3B"/>
    <w:rsid w:val="008F66CF"/>
    <w:rsid w:val="008F71EC"/>
    <w:rsid w:val="00910D46"/>
    <w:rsid w:val="00911A9A"/>
    <w:rsid w:val="00917FCE"/>
    <w:rsid w:val="0098780D"/>
    <w:rsid w:val="00991AA7"/>
    <w:rsid w:val="009A77A0"/>
    <w:rsid w:val="009D30D7"/>
    <w:rsid w:val="009D3591"/>
    <w:rsid w:val="009D4ADE"/>
    <w:rsid w:val="009D7A4E"/>
    <w:rsid w:val="009F0128"/>
    <w:rsid w:val="00A13016"/>
    <w:rsid w:val="00A160E1"/>
    <w:rsid w:val="00A205CB"/>
    <w:rsid w:val="00A20B91"/>
    <w:rsid w:val="00A21128"/>
    <w:rsid w:val="00A315F3"/>
    <w:rsid w:val="00A505C0"/>
    <w:rsid w:val="00A55DD5"/>
    <w:rsid w:val="00A56E28"/>
    <w:rsid w:val="00A74693"/>
    <w:rsid w:val="00A80D84"/>
    <w:rsid w:val="00A82C63"/>
    <w:rsid w:val="00AA2C7F"/>
    <w:rsid w:val="00AC4F34"/>
    <w:rsid w:val="00AC6C3F"/>
    <w:rsid w:val="00AF3F9A"/>
    <w:rsid w:val="00B170E0"/>
    <w:rsid w:val="00B246A0"/>
    <w:rsid w:val="00B32BD3"/>
    <w:rsid w:val="00B40F6A"/>
    <w:rsid w:val="00B555F0"/>
    <w:rsid w:val="00B649B6"/>
    <w:rsid w:val="00BB2631"/>
    <w:rsid w:val="00BC2497"/>
    <w:rsid w:val="00BE0877"/>
    <w:rsid w:val="00BE27A9"/>
    <w:rsid w:val="00C00DAE"/>
    <w:rsid w:val="00C0443F"/>
    <w:rsid w:val="00C241AE"/>
    <w:rsid w:val="00C5205A"/>
    <w:rsid w:val="00C64AFE"/>
    <w:rsid w:val="00C76B94"/>
    <w:rsid w:val="00CA7F04"/>
    <w:rsid w:val="00CB09CB"/>
    <w:rsid w:val="00CC33F2"/>
    <w:rsid w:val="00CD222B"/>
    <w:rsid w:val="00CE5979"/>
    <w:rsid w:val="00CE616A"/>
    <w:rsid w:val="00CF22DD"/>
    <w:rsid w:val="00CF5053"/>
    <w:rsid w:val="00D0541C"/>
    <w:rsid w:val="00D1393E"/>
    <w:rsid w:val="00D17B56"/>
    <w:rsid w:val="00D2089C"/>
    <w:rsid w:val="00D51761"/>
    <w:rsid w:val="00D52C4B"/>
    <w:rsid w:val="00D60D72"/>
    <w:rsid w:val="00D6264A"/>
    <w:rsid w:val="00D70301"/>
    <w:rsid w:val="00D74960"/>
    <w:rsid w:val="00D846FF"/>
    <w:rsid w:val="00D91CAD"/>
    <w:rsid w:val="00DA73F2"/>
    <w:rsid w:val="00DB6302"/>
    <w:rsid w:val="00DE6C79"/>
    <w:rsid w:val="00DF37BD"/>
    <w:rsid w:val="00E150A6"/>
    <w:rsid w:val="00E202D4"/>
    <w:rsid w:val="00E45A3C"/>
    <w:rsid w:val="00E568B0"/>
    <w:rsid w:val="00E56F6B"/>
    <w:rsid w:val="00E617C7"/>
    <w:rsid w:val="00E62901"/>
    <w:rsid w:val="00E95264"/>
    <w:rsid w:val="00EA1A21"/>
    <w:rsid w:val="00EB1878"/>
    <w:rsid w:val="00EB3B3A"/>
    <w:rsid w:val="00EE10B9"/>
    <w:rsid w:val="00EE1A67"/>
    <w:rsid w:val="00F03501"/>
    <w:rsid w:val="00F15C97"/>
    <w:rsid w:val="00F40E65"/>
    <w:rsid w:val="00F61FB3"/>
    <w:rsid w:val="00F6351A"/>
    <w:rsid w:val="00F63F46"/>
    <w:rsid w:val="00F818AE"/>
    <w:rsid w:val="00F8302A"/>
    <w:rsid w:val="00FA0756"/>
    <w:rsid w:val="00FB204A"/>
    <w:rsid w:val="00FB4ED3"/>
    <w:rsid w:val="00FC131F"/>
    <w:rsid w:val="00FD16FA"/>
    <w:rsid w:val="00FF0BD9"/>
    <w:rsid w:val="1155B898"/>
    <w:rsid w:val="197A6586"/>
    <w:rsid w:val="5FDE1993"/>
    <w:rsid w:val="671485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A4DFF"/>
  <w15:chartTrackingRefBased/>
  <w15:docId w15:val="{F6F4B750-3861-4A02-B341-5DC30DFE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C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BC2"/>
    <w:pPr>
      <w:ind w:left="720"/>
    </w:pPr>
  </w:style>
  <w:style w:type="paragraph" w:styleId="Koptekst">
    <w:name w:val="header"/>
    <w:basedOn w:val="Standaard"/>
    <w:link w:val="KoptekstChar"/>
    <w:uiPriority w:val="99"/>
    <w:unhideWhenUsed/>
    <w:rsid w:val="00CE616A"/>
    <w:pPr>
      <w:tabs>
        <w:tab w:val="center" w:pos="4536"/>
        <w:tab w:val="right" w:pos="9072"/>
      </w:tabs>
    </w:pPr>
  </w:style>
  <w:style w:type="character" w:customStyle="1" w:styleId="KoptekstChar">
    <w:name w:val="Koptekst Char"/>
    <w:basedOn w:val="Standaardalinea-lettertype"/>
    <w:link w:val="Koptekst"/>
    <w:uiPriority w:val="99"/>
    <w:rsid w:val="00CE616A"/>
    <w:rPr>
      <w:rFonts w:ascii="Calibri" w:hAnsi="Calibri" w:cs="Calibri"/>
    </w:rPr>
  </w:style>
  <w:style w:type="paragraph" w:styleId="Voettekst">
    <w:name w:val="footer"/>
    <w:basedOn w:val="Standaard"/>
    <w:link w:val="VoettekstChar"/>
    <w:uiPriority w:val="99"/>
    <w:unhideWhenUsed/>
    <w:rsid w:val="00CE616A"/>
    <w:pPr>
      <w:tabs>
        <w:tab w:val="center" w:pos="4536"/>
        <w:tab w:val="right" w:pos="9072"/>
      </w:tabs>
    </w:pPr>
  </w:style>
  <w:style w:type="character" w:customStyle="1" w:styleId="VoettekstChar">
    <w:name w:val="Voettekst Char"/>
    <w:basedOn w:val="Standaardalinea-lettertype"/>
    <w:link w:val="Voettekst"/>
    <w:uiPriority w:val="99"/>
    <w:rsid w:val="00CE616A"/>
    <w:rPr>
      <w:rFonts w:ascii="Calibri" w:hAnsi="Calibri" w:cs="Calibri"/>
    </w:rPr>
  </w:style>
  <w:style w:type="character" w:customStyle="1" w:styleId="Bodytekst">
    <w:name w:val="Bodytekst"/>
    <w:rsid w:val="00090A1C"/>
    <w:rPr>
      <w:rFonts w:ascii="Arial" w:hAnsi="Arial"/>
      <w:lang w:val="nl-NL"/>
    </w:rPr>
  </w:style>
  <w:style w:type="character" w:styleId="Hyperlink">
    <w:name w:val="Hyperlink"/>
    <w:semiHidden/>
    <w:rsid w:val="00090A1C"/>
    <w:rPr>
      <w:color w:val="0000FF"/>
      <w:u w:val="single"/>
      <w:lang w:val="nl-NL"/>
    </w:rPr>
  </w:style>
  <w:style w:type="character" w:styleId="Voetnootmarkering">
    <w:name w:val="footnote reference"/>
    <w:semiHidden/>
    <w:rsid w:val="00090A1C"/>
    <w:rPr>
      <w:vertAlign w:val="superscript"/>
      <w:lang w:val="nl-NL"/>
    </w:rPr>
  </w:style>
  <w:style w:type="paragraph" w:styleId="Voetnoottekst">
    <w:name w:val="footnote text"/>
    <w:basedOn w:val="Standaard"/>
    <w:link w:val="VoetnoottekstChar"/>
    <w:semiHidden/>
    <w:rsid w:val="00090A1C"/>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090A1C"/>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894CCA"/>
    <w:rPr>
      <w:sz w:val="16"/>
      <w:szCs w:val="16"/>
    </w:rPr>
  </w:style>
  <w:style w:type="paragraph" w:styleId="Tekstopmerking">
    <w:name w:val="annotation text"/>
    <w:basedOn w:val="Standaard"/>
    <w:link w:val="TekstopmerkingChar"/>
    <w:uiPriority w:val="99"/>
    <w:semiHidden/>
    <w:unhideWhenUsed/>
    <w:rsid w:val="00894CCA"/>
    <w:rPr>
      <w:sz w:val="20"/>
      <w:szCs w:val="20"/>
    </w:rPr>
  </w:style>
  <w:style w:type="character" w:customStyle="1" w:styleId="TekstopmerkingChar">
    <w:name w:val="Tekst opmerking Char"/>
    <w:basedOn w:val="Standaardalinea-lettertype"/>
    <w:link w:val="Tekstopmerking"/>
    <w:uiPriority w:val="99"/>
    <w:semiHidden/>
    <w:rsid w:val="00894CCA"/>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94CCA"/>
    <w:rPr>
      <w:b/>
      <w:bCs/>
    </w:rPr>
  </w:style>
  <w:style w:type="character" w:customStyle="1" w:styleId="OnderwerpvanopmerkingChar">
    <w:name w:val="Onderwerp van opmerking Char"/>
    <w:basedOn w:val="TekstopmerkingChar"/>
    <w:link w:val="Onderwerpvanopmerking"/>
    <w:uiPriority w:val="99"/>
    <w:semiHidden/>
    <w:rsid w:val="00894CCA"/>
    <w:rPr>
      <w:rFonts w:ascii="Calibri" w:hAnsi="Calibri" w:cs="Calibri"/>
      <w:b/>
      <w:bCs/>
      <w:sz w:val="20"/>
      <w:szCs w:val="20"/>
    </w:rPr>
  </w:style>
  <w:style w:type="character" w:styleId="Onopgelostemelding">
    <w:name w:val="Unresolved Mention"/>
    <w:basedOn w:val="Standaardalinea-lettertype"/>
    <w:uiPriority w:val="99"/>
    <w:unhideWhenUsed/>
    <w:rsid w:val="008166C6"/>
    <w:rPr>
      <w:color w:val="605E5C"/>
      <w:shd w:val="clear" w:color="auto" w:fill="E1DFDD"/>
    </w:rPr>
  </w:style>
  <w:style w:type="character" w:styleId="Vermelding">
    <w:name w:val="Mention"/>
    <w:basedOn w:val="Standaardalinea-lettertype"/>
    <w:uiPriority w:val="99"/>
    <w:unhideWhenUsed/>
    <w:rsid w:val="008166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335">
      <w:bodyDiv w:val="1"/>
      <w:marLeft w:val="0"/>
      <w:marRight w:val="0"/>
      <w:marTop w:val="0"/>
      <w:marBottom w:val="0"/>
      <w:divBdr>
        <w:top w:val="none" w:sz="0" w:space="0" w:color="auto"/>
        <w:left w:val="none" w:sz="0" w:space="0" w:color="auto"/>
        <w:bottom w:val="none" w:sz="0" w:space="0" w:color="auto"/>
        <w:right w:val="none" w:sz="0" w:space="0" w:color="auto"/>
      </w:divBdr>
    </w:div>
    <w:div w:id="629559571">
      <w:bodyDiv w:val="1"/>
      <w:marLeft w:val="0"/>
      <w:marRight w:val="0"/>
      <w:marTop w:val="0"/>
      <w:marBottom w:val="0"/>
      <w:divBdr>
        <w:top w:val="none" w:sz="0" w:space="0" w:color="auto"/>
        <w:left w:val="none" w:sz="0" w:space="0" w:color="auto"/>
        <w:bottom w:val="none" w:sz="0" w:space="0" w:color="auto"/>
        <w:right w:val="none" w:sz="0" w:space="0" w:color="auto"/>
      </w:divBdr>
    </w:div>
    <w:div w:id="907350158">
      <w:bodyDiv w:val="1"/>
      <w:marLeft w:val="0"/>
      <w:marRight w:val="0"/>
      <w:marTop w:val="0"/>
      <w:marBottom w:val="0"/>
      <w:divBdr>
        <w:top w:val="none" w:sz="0" w:space="0" w:color="auto"/>
        <w:left w:val="none" w:sz="0" w:space="0" w:color="auto"/>
        <w:bottom w:val="none" w:sz="0" w:space="0" w:color="auto"/>
        <w:right w:val="none" w:sz="0" w:space="0" w:color="auto"/>
      </w:divBdr>
    </w:div>
    <w:div w:id="972055513">
      <w:bodyDiv w:val="1"/>
      <w:marLeft w:val="0"/>
      <w:marRight w:val="0"/>
      <w:marTop w:val="0"/>
      <w:marBottom w:val="0"/>
      <w:divBdr>
        <w:top w:val="none" w:sz="0" w:space="0" w:color="auto"/>
        <w:left w:val="none" w:sz="0" w:space="0" w:color="auto"/>
        <w:bottom w:val="none" w:sz="0" w:space="0" w:color="auto"/>
        <w:right w:val="none" w:sz="0" w:space="0" w:color="auto"/>
      </w:divBdr>
    </w:div>
    <w:div w:id="1139494458">
      <w:bodyDiv w:val="1"/>
      <w:marLeft w:val="0"/>
      <w:marRight w:val="0"/>
      <w:marTop w:val="0"/>
      <w:marBottom w:val="0"/>
      <w:divBdr>
        <w:top w:val="none" w:sz="0" w:space="0" w:color="auto"/>
        <w:left w:val="none" w:sz="0" w:space="0" w:color="auto"/>
        <w:bottom w:val="none" w:sz="0" w:space="0" w:color="auto"/>
        <w:right w:val="none" w:sz="0" w:space="0" w:color="auto"/>
      </w:divBdr>
    </w:div>
    <w:div w:id="1235159654">
      <w:bodyDiv w:val="1"/>
      <w:marLeft w:val="0"/>
      <w:marRight w:val="0"/>
      <w:marTop w:val="0"/>
      <w:marBottom w:val="0"/>
      <w:divBdr>
        <w:top w:val="none" w:sz="0" w:space="0" w:color="auto"/>
        <w:left w:val="none" w:sz="0" w:space="0" w:color="auto"/>
        <w:bottom w:val="none" w:sz="0" w:space="0" w:color="auto"/>
        <w:right w:val="none" w:sz="0" w:space="0" w:color="auto"/>
      </w:divBdr>
    </w:div>
    <w:div w:id="1476289706">
      <w:bodyDiv w:val="1"/>
      <w:marLeft w:val="0"/>
      <w:marRight w:val="0"/>
      <w:marTop w:val="0"/>
      <w:marBottom w:val="0"/>
      <w:divBdr>
        <w:top w:val="none" w:sz="0" w:space="0" w:color="auto"/>
        <w:left w:val="none" w:sz="0" w:space="0" w:color="auto"/>
        <w:bottom w:val="none" w:sz="0" w:space="0" w:color="auto"/>
        <w:right w:val="none" w:sz="0" w:space="0" w:color="auto"/>
      </w:divBdr>
    </w:div>
    <w:div w:id="1625621386">
      <w:bodyDiv w:val="1"/>
      <w:marLeft w:val="0"/>
      <w:marRight w:val="0"/>
      <w:marTop w:val="0"/>
      <w:marBottom w:val="0"/>
      <w:divBdr>
        <w:top w:val="none" w:sz="0" w:space="0" w:color="auto"/>
        <w:left w:val="none" w:sz="0" w:space="0" w:color="auto"/>
        <w:bottom w:val="none" w:sz="0" w:space="0" w:color="auto"/>
        <w:right w:val="none" w:sz="0" w:space="0" w:color="auto"/>
      </w:divBdr>
    </w:div>
    <w:div w:id="1738167083">
      <w:bodyDiv w:val="1"/>
      <w:marLeft w:val="0"/>
      <w:marRight w:val="0"/>
      <w:marTop w:val="0"/>
      <w:marBottom w:val="0"/>
      <w:divBdr>
        <w:top w:val="none" w:sz="0" w:space="0" w:color="auto"/>
        <w:left w:val="none" w:sz="0" w:space="0" w:color="auto"/>
        <w:bottom w:val="none" w:sz="0" w:space="0" w:color="auto"/>
        <w:right w:val="none" w:sz="0" w:space="0" w:color="auto"/>
      </w:divBdr>
    </w:div>
    <w:div w:id="20457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gezondheid/organisatie-van-de-gezondheidszorg/ziekenhuizen/financiering-ziekenhuizen/finhost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63F33D1BD24F8C4F537078CE440C" ma:contentTypeVersion="16" ma:contentTypeDescription="Een nieuw document maken." ma:contentTypeScope="" ma:versionID="197776dec6443e14bf835d09a0c3a07a">
  <xsd:schema xmlns:xsd="http://www.w3.org/2001/XMLSchema" xmlns:xs="http://www.w3.org/2001/XMLSchema" xmlns:p="http://schemas.microsoft.com/office/2006/metadata/properties" xmlns:ns2="5c31113f-3e62-4b13-83bd-a940109ff6cd" xmlns:ns3="1d1e5acb-1ded-409b-b259-6d5dfca81942" xmlns:ns4="9a9ec0f0-7796-43d0-ac1f-4c8c46ee0bd1" targetNamespace="http://schemas.microsoft.com/office/2006/metadata/properties" ma:root="true" ma:fieldsID="0eaf6906c595213f955a7f6dce452598" ns2:_="" ns3:_="" ns4:_="">
    <xsd:import namespace="5c31113f-3e62-4b13-83bd-a940109ff6cd"/>
    <xsd:import namespace="1d1e5acb-1ded-409b-b259-6d5dfca81942"/>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113f-3e62-4b13-83bd-a940109ff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e5acb-1ded-409b-b259-6d5dfca8194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51b53b-46af-4651-bcbd-130dcd156f13}" ma:internalName="TaxCatchAll" ma:showField="CatchAllData" ma:web="d6b0519f-151c-4ff4-90e5-3a8f1ccb71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31113f-3e62-4b13-83bd-a940109ff6cd">
      <Terms xmlns="http://schemas.microsoft.com/office/infopath/2007/PartnerControls"/>
    </lcf76f155ced4ddcb4097134ff3c332f>
    <TaxCatchAll xmlns="9a9ec0f0-7796-43d0-ac1f-4c8c46ee0b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19FF1-A6A9-45FB-8E80-F2E50714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1113f-3e62-4b13-83bd-a940109ff6cd"/>
    <ds:schemaRef ds:uri="1d1e5acb-1ded-409b-b259-6d5dfca81942"/>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D1F1A-6099-4D25-AB1A-5468CB4266C5}">
  <ds:schemaRefs>
    <ds:schemaRef ds:uri="http://schemas.microsoft.com/office/2006/metadata/properties"/>
    <ds:schemaRef ds:uri="http://schemas.microsoft.com/office/infopath/2007/PartnerControls"/>
    <ds:schemaRef ds:uri="5c31113f-3e62-4b13-83bd-a940109ff6cd"/>
    <ds:schemaRef ds:uri="9a9ec0f0-7796-43d0-ac1f-4c8c46ee0bd1"/>
  </ds:schemaRefs>
</ds:datastoreItem>
</file>

<file path=customXml/itemProps3.xml><?xml version="1.0" encoding="utf-8"?>
<ds:datastoreItem xmlns:ds="http://schemas.openxmlformats.org/officeDocument/2006/customXml" ds:itemID="{3178A440-B948-4427-A1BD-A87A2EF69A0F}">
  <ds:schemaRefs>
    <ds:schemaRef ds:uri="http://schemas.openxmlformats.org/officeDocument/2006/bibliography"/>
  </ds:schemaRefs>
</ds:datastoreItem>
</file>

<file path=customXml/itemProps4.xml><?xml version="1.0" encoding="utf-8"?>
<ds:datastoreItem xmlns:ds="http://schemas.openxmlformats.org/officeDocument/2006/customXml" ds:itemID="{EC7430E9-9031-4599-BC6C-B39777F61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2053</Words>
  <Characters>11297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Delrue</dc:creator>
  <cp:keywords/>
  <dc:description/>
  <cp:lastModifiedBy>Dheere Stef</cp:lastModifiedBy>
  <cp:revision>34</cp:revision>
  <dcterms:created xsi:type="dcterms:W3CDTF">2020-07-16T10:50:00Z</dcterms:created>
  <dcterms:modified xsi:type="dcterms:W3CDTF">2023-03-17T11:27:00Z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0x010100460963F33D1BD24F8C4F537078CE440C</vt:lpwstr>
  </property>
  <property fmtid="{D5CDD505-2E9C-101B-9397-08002B2CF9AE}" pid="3" name="MediaServiceImageTags">
    <vt:lpwstr/>
  </property>
</Properties>
</file>