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90052" w14:textId="77777777" w:rsidR="004C17DF" w:rsidRPr="00474725" w:rsidRDefault="00474725">
      <w:pPr>
        <w:rPr>
          <w:b/>
          <w:sz w:val="28"/>
          <w:szCs w:val="28"/>
        </w:rPr>
      </w:pPr>
      <w:bookmarkStart w:id="0" w:name="_GoBack"/>
      <w:bookmarkEnd w:id="0"/>
      <w:r w:rsidRPr="00474725">
        <w:rPr>
          <w:b/>
          <w:sz w:val="28"/>
          <w:szCs w:val="28"/>
        </w:rPr>
        <w:t>Duiding en handlei</w:t>
      </w:r>
      <w:r>
        <w:rPr>
          <w:b/>
          <w:sz w:val="28"/>
          <w:szCs w:val="28"/>
        </w:rPr>
        <w:t>ding bij opmaak</w:t>
      </w:r>
      <w:r w:rsidR="00B8696B">
        <w:rPr>
          <w:b/>
          <w:sz w:val="28"/>
          <w:szCs w:val="28"/>
        </w:rPr>
        <w:t xml:space="preserve"> van een</w:t>
      </w:r>
      <w:r w:rsidRPr="00474725">
        <w:rPr>
          <w:b/>
          <w:sz w:val="28"/>
          <w:szCs w:val="28"/>
        </w:rPr>
        <w:t xml:space="preserve"> financieel plan tot het bekomen van VIPA subsidies </w:t>
      </w:r>
    </w:p>
    <w:p w14:paraId="6B6ABC8F" w14:textId="18483D43" w:rsidR="00F94EAD" w:rsidRDefault="00280A14" w:rsidP="00F94EAD">
      <w:r>
        <w:t>Deze nota en handleiding kadert in de verdere ontwikkeling van  het VIPA als kenniscentrum</w:t>
      </w:r>
      <w:r w:rsidR="00F94EAD">
        <w:t xml:space="preserve"> en is van toepassing voor alle subsidieaanvragen met uitzondering van ziekenhuizen. Voor deze is er een aparte nota uitgewerkt.</w:t>
      </w:r>
    </w:p>
    <w:p w14:paraId="4097EFE6" w14:textId="60E78B0E" w:rsidR="00F94EAD" w:rsidRDefault="00280A14" w:rsidP="00F53582">
      <w:pPr>
        <w:spacing w:after="0"/>
      </w:pPr>
      <w:r>
        <w:t>Een financieel plan beoogt het</w:t>
      </w:r>
      <w:r w:rsidR="00474725">
        <w:t xml:space="preserve"> beoordelen van de </w:t>
      </w:r>
      <w:r w:rsidR="00B2213A">
        <w:t xml:space="preserve">financiële toestand van de aanvrager op basis van historische financiële gegevens </w:t>
      </w:r>
      <w:r w:rsidR="00F53582">
        <w:t>en toekomst</w:t>
      </w:r>
      <w:r w:rsidR="00B2213A">
        <w:t>projec</w:t>
      </w:r>
      <w:r w:rsidR="00F53582">
        <w:t>ties</w:t>
      </w:r>
      <w:r w:rsidR="00F94EAD">
        <w:t xml:space="preserve"> . </w:t>
      </w:r>
    </w:p>
    <w:p w14:paraId="17590056" w14:textId="2F497CAF" w:rsidR="00B8696B" w:rsidRDefault="00B8696B" w:rsidP="00F53582">
      <w:pPr>
        <w:spacing w:after="0"/>
      </w:pPr>
      <w:r>
        <w:t>Het financie</w:t>
      </w:r>
      <w:r w:rsidR="00F94EAD">
        <w:t>el plan bestaat uit volgende elementen</w:t>
      </w:r>
      <w:r>
        <w:t>;</w:t>
      </w:r>
    </w:p>
    <w:p w14:paraId="17590057" w14:textId="77777777" w:rsidR="00B2213A" w:rsidRPr="00B2213A" w:rsidRDefault="00B2213A" w:rsidP="00B2213A">
      <w:pPr>
        <w:spacing w:after="0"/>
      </w:pPr>
      <w:r>
        <w:t>-</w:t>
      </w:r>
      <w:r w:rsidRPr="00B2213A">
        <w:t>Historische Balans en Resultatenrekening</w:t>
      </w:r>
      <w:r>
        <w:t xml:space="preserve"> </w:t>
      </w:r>
    </w:p>
    <w:p w14:paraId="17590058" w14:textId="77777777" w:rsidR="00474725" w:rsidRPr="00B2213A" w:rsidRDefault="00B2213A" w:rsidP="00B2213A">
      <w:pPr>
        <w:spacing w:after="0"/>
      </w:pPr>
      <w:r>
        <w:t>-</w:t>
      </w:r>
      <w:r w:rsidR="00474725" w:rsidRPr="00B2213A">
        <w:t>M</w:t>
      </w:r>
      <w:r>
        <w:t xml:space="preserve">eerjarenplan </w:t>
      </w:r>
    </w:p>
    <w:p w14:paraId="17590059" w14:textId="77777777" w:rsidR="00474725" w:rsidRPr="00B2213A" w:rsidRDefault="00B2213A" w:rsidP="00B2213A">
      <w:pPr>
        <w:spacing w:after="0"/>
      </w:pPr>
      <w:r>
        <w:t>-</w:t>
      </w:r>
      <w:r w:rsidR="00474725" w:rsidRPr="00B2213A">
        <w:t>Cashflow en liquiditeiten planning</w:t>
      </w:r>
    </w:p>
    <w:p w14:paraId="1759005A" w14:textId="77777777" w:rsidR="00474725" w:rsidRDefault="00B2213A" w:rsidP="00B2213A">
      <w:pPr>
        <w:spacing w:after="0"/>
      </w:pPr>
      <w:r>
        <w:t>-</w:t>
      </w:r>
      <w:r w:rsidR="00474725" w:rsidRPr="00B2213A">
        <w:t>Kostprijs en financiering van het project</w:t>
      </w:r>
    </w:p>
    <w:p w14:paraId="1759005B" w14:textId="77777777" w:rsidR="00F53582" w:rsidRPr="00B2213A" w:rsidRDefault="00F53582" w:rsidP="00B2213A">
      <w:pPr>
        <w:spacing w:after="0"/>
      </w:pPr>
    </w:p>
    <w:p w14:paraId="1759005C" w14:textId="77777777" w:rsidR="00F53582" w:rsidRPr="00F53582" w:rsidRDefault="00F53582" w:rsidP="00FA2428">
      <w:pPr>
        <w:spacing w:after="120"/>
        <w:rPr>
          <w:b/>
        </w:rPr>
      </w:pPr>
      <w:r w:rsidRPr="00F53582">
        <w:rPr>
          <w:b/>
        </w:rPr>
        <w:t>Historische Balans en Resultatenrekening</w:t>
      </w:r>
    </w:p>
    <w:p w14:paraId="1759005D" w14:textId="77777777" w:rsidR="00B8696B" w:rsidRDefault="00FA2428" w:rsidP="009A3DFA">
      <w:pPr>
        <w:spacing w:after="0"/>
      </w:pPr>
      <w:r>
        <w:t>Dit omvat e</w:t>
      </w:r>
      <w:r w:rsidR="00B8696B">
        <w:t>en analyse van de neergelegde jaarrekeningen van minstens 3 boekjaren.</w:t>
      </w:r>
    </w:p>
    <w:p w14:paraId="1759005E" w14:textId="77777777" w:rsidR="00474725" w:rsidRDefault="00F94683" w:rsidP="009A3DFA">
      <w:pPr>
        <w:spacing w:after="0"/>
      </w:pPr>
      <w:r>
        <w:t>De volgende</w:t>
      </w:r>
      <w:r w:rsidR="00094551">
        <w:t xml:space="preserve"> ratio’s worden </w:t>
      </w:r>
      <w:r w:rsidR="004F7AA0">
        <w:t>in overweging genomen;</w:t>
      </w:r>
    </w:p>
    <w:p w14:paraId="1759005F" w14:textId="77777777" w:rsidR="00F53582" w:rsidRDefault="00094551" w:rsidP="009A3DFA">
      <w:pPr>
        <w:spacing w:after="0"/>
      </w:pPr>
      <w:r>
        <w:t>-</w:t>
      </w:r>
      <w:r w:rsidR="00F53582">
        <w:t>L</w:t>
      </w:r>
      <w:r w:rsidR="00F94683">
        <w:t>iquiditeitspositie : Korte termijn vorderingen / korte termijn schuld</w:t>
      </w:r>
      <w:r w:rsidR="009669FA">
        <w:t>,</w:t>
      </w:r>
      <w:r w:rsidR="00F94683">
        <w:t xml:space="preserve"> met als minim</w:t>
      </w:r>
      <w:r>
        <w:t>um</w:t>
      </w:r>
      <w:r w:rsidR="00F94683">
        <w:t>norm  een ratio van 1.2</w:t>
      </w:r>
    </w:p>
    <w:p w14:paraId="17590060" w14:textId="77777777" w:rsidR="00F94683" w:rsidRDefault="00094551" w:rsidP="009A3DFA">
      <w:pPr>
        <w:spacing w:after="0"/>
      </w:pPr>
      <w:r>
        <w:t>-</w:t>
      </w:r>
      <w:r w:rsidR="00F94683">
        <w:t>Solvabiliteit</w:t>
      </w:r>
      <w:r>
        <w:t xml:space="preserve"> : </w:t>
      </w:r>
      <w:r w:rsidR="00F94683">
        <w:t xml:space="preserve">  </w:t>
      </w:r>
      <w:r w:rsidR="009A3DFA">
        <w:t>Ei</w:t>
      </w:r>
      <w:r>
        <w:t xml:space="preserve">gen vermogen / Vreemd vermogen </w:t>
      </w:r>
      <w:r w:rsidR="00F94683">
        <w:t xml:space="preserve"> met als norm </w:t>
      </w:r>
      <w:r>
        <w:t xml:space="preserve">groter dan </w:t>
      </w:r>
      <w:r w:rsidR="009669FA">
        <w:t>0.3</w:t>
      </w:r>
    </w:p>
    <w:p w14:paraId="17590061" w14:textId="77777777" w:rsidR="00094551" w:rsidRDefault="00094551" w:rsidP="009A3DFA">
      <w:pPr>
        <w:spacing w:after="0"/>
      </w:pPr>
      <w:r>
        <w:t xml:space="preserve">-Verhouding Netto Kaspositie (liquide middelen – KT financiële schulden) t.o.v. lopende uitgaven. De norm is een verhouding van 1 op 6 ofte 2 maand </w:t>
      </w:r>
      <w:r w:rsidR="004F7AA0">
        <w:t>uitgaven</w:t>
      </w:r>
      <w:r>
        <w:t xml:space="preserve">dekking </w:t>
      </w:r>
      <w:r w:rsidR="004F7AA0">
        <w:t>door</w:t>
      </w:r>
      <w:r>
        <w:t xml:space="preserve"> liquiditeiten.</w:t>
      </w:r>
    </w:p>
    <w:p w14:paraId="17590062" w14:textId="77777777" w:rsidR="00FA2428" w:rsidRDefault="00FA2428" w:rsidP="009A3DFA">
      <w:pPr>
        <w:spacing w:after="0"/>
      </w:pPr>
      <w:r>
        <w:t xml:space="preserve">Bijkomende analyse </w:t>
      </w:r>
    </w:p>
    <w:p w14:paraId="17590063" w14:textId="77777777" w:rsidR="00B8696B" w:rsidRDefault="00FA2428" w:rsidP="009A3DFA">
      <w:pPr>
        <w:spacing w:after="0"/>
      </w:pPr>
      <w:r>
        <w:t xml:space="preserve">Verder wordt er ook aandacht besteed aan de </w:t>
      </w:r>
      <w:r w:rsidR="00B8696B">
        <w:t>correct</w:t>
      </w:r>
      <w:r>
        <w:t>e</w:t>
      </w:r>
      <w:r w:rsidR="00B8696B">
        <w:t xml:space="preserve"> rapportering van de verschil</w:t>
      </w:r>
      <w:r w:rsidR="005619C0">
        <w:t>l</w:t>
      </w:r>
      <w:r w:rsidR="00FD1A2E">
        <w:t>ende ba</w:t>
      </w:r>
      <w:r>
        <w:t xml:space="preserve">lans en resultatenelementen welke nodig zijn </w:t>
      </w:r>
      <w:r w:rsidR="00FD1A2E">
        <w:t>voor een correcte en volledige analyse. In de toelichting wordt hier dieper op opgegaan</w:t>
      </w:r>
      <w:r w:rsidR="000C3D23">
        <w:t>.</w:t>
      </w:r>
    </w:p>
    <w:p w14:paraId="17590064" w14:textId="77777777" w:rsidR="00FD1A2E" w:rsidRDefault="00FD1A2E" w:rsidP="00FA2428">
      <w:pPr>
        <w:spacing w:before="240" w:after="120"/>
        <w:rPr>
          <w:b/>
        </w:rPr>
      </w:pPr>
      <w:r w:rsidRPr="00FD1A2E">
        <w:rPr>
          <w:b/>
        </w:rPr>
        <w:t>Meerjarenplan</w:t>
      </w:r>
    </w:p>
    <w:p w14:paraId="17590065" w14:textId="77777777" w:rsidR="00FD1A2E" w:rsidRDefault="00FA2428" w:rsidP="009A3DFA">
      <w:pPr>
        <w:spacing w:after="0"/>
      </w:pPr>
      <w:r>
        <w:t>Dit is een</w:t>
      </w:r>
      <w:r w:rsidR="00EC0E2B">
        <w:t xml:space="preserve"> projectie van de opbrengsten en kosten voor een </w:t>
      </w:r>
      <w:r w:rsidR="00F241C5">
        <w:t>periode van minimum 5 jaar.</w:t>
      </w:r>
    </w:p>
    <w:p w14:paraId="17590066" w14:textId="77777777" w:rsidR="00F241C5" w:rsidRDefault="000C3D23" w:rsidP="009A3DFA">
      <w:pPr>
        <w:spacing w:after="0"/>
      </w:pPr>
      <w:r>
        <w:t xml:space="preserve">De nadruk van de analyse </w:t>
      </w:r>
      <w:r w:rsidR="00F241C5">
        <w:t>ligt op de consistentie in de evolutie van de  opbrengsten en kosten in functie van de geplande initiatieven</w:t>
      </w:r>
      <w:r w:rsidR="00FA2428">
        <w:t>.</w:t>
      </w:r>
    </w:p>
    <w:p w14:paraId="17590067" w14:textId="77777777" w:rsidR="000C3D23" w:rsidRDefault="00FA2428" w:rsidP="009A3DFA">
      <w:pPr>
        <w:spacing w:after="0"/>
      </w:pPr>
      <w:r>
        <w:t>Het f</w:t>
      </w:r>
      <w:r w:rsidR="000C3D23">
        <w:t xml:space="preserve">ormaat is dit van een neergelegd </w:t>
      </w:r>
      <w:r>
        <w:t xml:space="preserve">resultatenrekening </w:t>
      </w:r>
      <w:r w:rsidR="000C3D23">
        <w:t>met extra aandacht voor de uitsplitsing van post</w:t>
      </w:r>
      <w:r>
        <w:t>en</w:t>
      </w:r>
      <w:r w:rsidR="000C3D23">
        <w:t xml:space="preserve"> 73 zijnde lidgelden, legaten en subsidies, post 63 afschrij</w:t>
      </w:r>
      <w:r w:rsidR="009669FA">
        <w:t xml:space="preserve">vingen en waardeverminderingen en </w:t>
      </w:r>
      <w:r w:rsidR="000C3D23">
        <w:t>post 65 financiële kosten</w:t>
      </w:r>
      <w:r w:rsidR="00F71528">
        <w:t xml:space="preserve">. Dit </w:t>
      </w:r>
      <w:r w:rsidR="000C3D23">
        <w:t>met het oog op</w:t>
      </w:r>
      <w:r w:rsidR="00A95FB8">
        <w:t xml:space="preserve"> een correcte inschatting van de cash flow</w:t>
      </w:r>
      <w:r w:rsidR="00F71528">
        <w:t xml:space="preserve"> en liquiditeiten</w:t>
      </w:r>
      <w:r w:rsidR="00A95FB8">
        <w:t xml:space="preserve"> ( zie verder)</w:t>
      </w:r>
    </w:p>
    <w:p w14:paraId="17590068" w14:textId="77777777" w:rsidR="000C3D23" w:rsidRDefault="000C3D23" w:rsidP="009A3DFA">
      <w:pPr>
        <w:spacing w:after="0"/>
      </w:pPr>
    </w:p>
    <w:p w14:paraId="17590069" w14:textId="77777777" w:rsidR="000C3D23" w:rsidRPr="000C3D23" w:rsidRDefault="000C3D23" w:rsidP="00390147">
      <w:pPr>
        <w:spacing w:after="120"/>
        <w:rPr>
          <w:b/>
        </w:rPr>
      </w:pPr>
      <w:r w:rsidRPr="000C3D23">
        <w:rPr>
          <w:b/>
        </w:rPr>
        <w:t>Cashflow en Liquiditeitsplanning</w:t>
      </w:r>
    </w:p>
    <w:p w14:paraId="1759006A" w14:textId="77777777" w:rsidR="000C3D23" w:rsidRDefault="005B33B0" w:rsidP="009A3DFA">
      <w:pPr>
        <w:spacing w:after="0"/>
      </w:pPr>
      <w:r>
        <w:t xml:space="preserve">De </w:t>
      </w:r>
      <w:r w:rsidRPr="009669FA">
        <w:rPr>
          <w:u w:val="single"/>
        </w:rPr>
        <w:t>cash flow</w:t>
      </w:r>
      <w:r>
        <w:t xml:space="preserve"> brengt</w:t>
      </w:r>
      <w:r w:rsidR="00390147">
        <w:t xml:space="preserve"> de toekoms</w:t>
      </w:r>
      <w:r w:rsidR="00AC4265">
        <w:t>ti</w:t>
      </w:r>
      <w:r w:rsidR="00390147">
        <w:t xml:space="preserve">ge </w:t>
      </w:r>
      <w:r w:rsidR="00AC4265">
        <w:t xml:space="preserve">inkomende en uitgaande </w:t>
      </w:r>
      <w:r w:rsidR="00390147">
        <w:t>kasstromen</w:t>
      </w:r>
      <w:r w:rsidR="00AC4265">
        <w:t xml:space="preserve"> in kaart. Het objectief is om de langere termijn kaspositie te beoordelen en de mogelij</w:t>
      </w:r>
      <w:r w:rsidR="009669FA">
        <w:t xml:space="preserve">kheid om aan de </w:t>
      </w:r>
      <w:r w:rsidR="00AC4265">
        <w:t>financiële engagementen te kunnen voldoen.</w:t>
      </w:r>
    </w:p>
    <w:p w14:paraId="1759006B" w14:textId="77777777" w:rsidR="00F71528" w:rsidRDefault="00F71528" w:rsidP="009A3DFA">
      <w:pPr>
        <w:spacing w:after="0"/>
      </w:pPr>
      <w:r>
        <w:t xml:space="preserve">Het vertrekpunt is het resultaat volgens het meerjarenplan. Dit resultaat wordt gecorrigeerd voor niet kaskosten en -opbrengsten , </w:t>
      </w:r>
      <w:r w:rsidR="00A550AC">
        <w:t>zoals</w:t>
      </w:r>
      <w:r>
        <w:t xml:space="preserve"> afschrijvingen, waardeverminderingen</w:t>
      </w:r>
      <w:r w:rsidR="00A550AC">
        <w:t xml:space="preserve"> en in resultaat genomen </w:t>
      </w:r>
      <w:r>
        <w:t xml:space="preserve">kapitaalsubsidies. </w:t>
      </w:r>
      <w:r w:rsidR="00A550AC">
        <w:t>K</w:t>
      </w:r>
      <w:r>
        <w:t>asstromen welke niet in resultaat worden genomen</w:t>
      </w:r>
      <w:r w:rsidR="00E94D2F">
        <w:t xml:space="preserve"> </w:t>
      </w:r>
      <w:r w:rsidR="00A550AC">
        <w:t>( vb. gebruikstoelage)</w:t>
      </w:r>
      <w:r w:rsidR="00E94D2F">
        <w:t xml:space="preserve">, worden </w:t>
      </w:r>
      <w:r w:rsidR="00A550AC">
        <w:t>aan het resultaat toegevoegd</w:t>
      </w:r>
    </w:p>
    <w:p w14:paraId="1759006C" w14:textId="5CD599FA" w:rsidR="00E94D2F" w:rsidRDefault="002D1C13" w:rsidP="009A3DFA">
      <w:pPr>
        <w:spacing w:after="0"/>
      </w:pPr>
      <w:r>
        <w:t>Zodoende bekomen we een</w:t>
      </w:r>
      <w:r w:rsidR="00E94D2F">
        <w:t xml:space="preserve"> uitgebreide cashflow waartegen de toekomstige kapitaalsaflossingen worden gezet. Dit</w:t>
      </w:r>
      <w:r>
        <w:t xml:space="preserve"> resulteert in een geprojecteerde dekkingsgraad welke m</w:t>
      </w:r>
      <w:r w:rsidR="009669FA">
        <w:t>instens 1 moet</w:t>
      </w:r>
      <w:r w:rsidR="00277729">
        <w:t xml:space="preserve"> zijn</w:t>
      </w:r>
      <w:r w:rsidR="009669FA">
        <w:t xml:space="preserve"> opdat </w:t>
      </w:r>
      <w:r>
        <w:lastRenderedPageBreak/>
        <w:t>de</w:t>
      </w:r>
      <w:r w:rsidR="009669FA">
        <w:t xml:space="preserve"> toekomstige</w:t>
      </w:r>
      <w:r>
        <w:t xml:space="preserve"> aflossingen gefinancierd kunnen worden . De norm gehanteerd door het VIPA is een coëfficiënt van 1.2, welke een </w:t>
      </w:r>
      <w:r w:rsidR="004200CA">
        <w:t>veiligheids</w:t>
      </w:r>
      <w:r>
        <w:t>marge van 20% inhoudt</w:t>
      </w:r>
      <w:r w:rsidR="004200CA">
        <w:t>.</w:t>
      </w:r>
    </w:p>
    <w:p w14:paraId="1759006D" w14:textId="77777777" w:rsidR="00AC4265" w:rsidRDefault="00AC4265" w:rsidP="009A3DFA">
      <w:pPr>
        <w:spacing w:after="0"/>
      </w:pPr>
    </w:p>
    <w:p w14:paraId="1759006E" w14:textId="77777777" w:rsidR="000C3D23" w:rsidRDefault="005B33B0" w:rsidP="009A3DFA">
      <w:pPr>
        <w:spacing w:after="0"/>
      </w:pPr>
      <w:r>
        <w:t xml:space="preserve">De </w:t>
      </w:r>
      <w:r w:rsidRPr="009669FA">
        <w:rPr>
          <w:u w:val="single"/>
        </w:rPr>
        <w:t>liquiditeitsplanning</w:t>
      </w:r>
      <w:r>
        <w:t xml:space="preserve"> brengt de toekomstige jaarlijkse kaspositie in kaart. De kaspositie is de som van geldbeleggingen, liquide middelen met in mindering de binnen het jaar</w:t>
      </w:r>
      <w:r w:rsidR="000B4651">
        <w:t xml:space="preserve"> vervallen financiële schulden.</w:t>
      </w:r>
    </w:p>
    <w:p w14:paraId="1759006F" w14:textId="77777777" w:rsidR="000B4651" w:rsidRDefault="000B4651" w:rsidP="009A3DFA">
      <w:pPr>
        <w:spacing w:after="0"/>
      </w:pPr>
      <w:r>
        <w:t xml:space="preserve">Vertrekkende van de kaspositie volgens de laatst neergelegde balans worden de jaarlijkse kasstromen en  aflossingen </w:t>
      </w:r>
      <w:r w:rsidR="009669FA">
        <w:t>genomen</w:t>
      </w:r>
      <w:r>
        <w:t xml:space="preserve"> ( zie cash flow berekening) alsook de toekomstige investeringsuitgaven en de ontvangen financiering ( vb leningen en subsidies ).</w:t>
      </w:r>
    </w:p>
    <w:p w14:paraId="17590070" w14:textId="77777777" w:rsidR="000B4651" w:rsidRDefault="000B4651" w:rsidP="009A3DFA">
      <w:pPr>
        <w:spacing w:after="0"/>
      </w:pPr>
      <w:r>
        <w:t xml:space="preserve">Het resultaat is een jaarlijkse </w:t>
      </w:r>
      <w:r w:rsidR="00B15AB4">
        <w:t xml:space="preserve">geprojecteerde </w:t>
      </w:r>
      <w:r>
        <w:t xml:space="preserve">kaspositie </w:t>
      </w:r>
      <w:r w:rsidR="00B15AB4">
        <w:t>welke altijd positief moet zijn.</w:t>
      </w:r>
    </w:p>
    <w:p w14:paraId="17590071" w14:textId="77777777" w:rsidR="00B15AB4" w:rsidRDefault="00B15AB4" w:rsidP="009A3DFA">
      <w:pPr>
        <w:spacing w:after="0"/>
      </w:pPr>
    </w:p>
    <w:p w14:paraId="17590072" w14:textId="77777777" w:rsidR="00532692" w:rsidRDefault="00532692" w:rsidP="00532692">
      <w:pPr>
        <w:spacing w:after="120"/>
        <w:rPr>
          <w:b/>
        </w:rPr>
      </w:pPr>
      <w:r w:rsidRPr="00532692">
        <w:rPr>
          <w:b/>
        </w:rPr>
        <w:t>Kostprijs en financiering van het project</w:t>
      </w:r>
    </w:p>
    <w:p w14:paraId="17590073" w14:textId="77777777" w:rsidR="00532692" w:rsidRDefault="00532692" w:rsidP="00532692">
      <w:pPr>
        <w:spacing w:after="120"/>
      </w:pPr>
      <w:r>
        <w:t>De kostprijs omvat de volledige kost van het project , inclusief BTW, erelonen, registratierechten, algemene kosten</w:t>
      </w:r>
      <w:r w:rsidR="00C66880">
        <w:t>,</w:t>
      </w:r>
      <w:r>
        <w:t>…</w:t>
      </w:r>
    </w:p>
    <w:p w14:paraId="17590074" w14:textId="77777777" w:rsidR="00532692" w:rsidRDefault="00532692" w:rsidP="00532692">
      <w:pPr>
        <w:spacing w:after="120"/>
      </w:pPr>
      <w:r>
        <w:t>De financiering omvat de oorsprong van de financiële middelen  zoals daar zijn, bancaire leningen, andere leningen, schenkingen, subsidies, inb</w:t>
      </w:r>
      <w:r w:rsidR="00C66880">
        <w:t>reng eigen middelen</w:t>
      </w:r>
      <w:r>
        <w:t>…</w:t>
      </w:r>
    </w:p>
    <w:p w14:paraId="17590075" w14:textId="77777777" w:rsidR="00C66880" w:rsidRDefault="00532692" w:rsidP="00532692">
      <w:pPr>
        <w:spacing w:after="120"/>
      </w:pPr>
      <w:r>
        <w:t xml:space="preserve">Het spreekt vanzelf dat er consistentie </w:t>
      </w:r>
      <w:r w:rsidR="009669FA">
        <w:t xml:space="preserve">moet zijn </w:t>
      </w:r>
      <w:r>
        <w:t xml:space="preserve"> tussen de begrote kostprijs en financiering enerzijds en het meerjarenplan en cashflow projectie anderzijds</w:t>
      </w:r>
      <w:r w:rsidR="002979CD">
        <w:t>.</w:t>
      </w:r>
    </w:p>
    <w:p w14:paraId="17590076" w14:textId="77777777" w:rsidR="007C5F43" w:rsidRDefault="007C5F43" w:rsidP="00532692">
      <w:pPr>
        <w:spacing w:after="120"/>
      </w:pPr>
      <w:r>
        <w:br w:type="page"/>
      </w:r>
    </w:p>
    <w:p w14:paraId="17590077" w14:textId="77777777" w:rsidR="009669FA" w:rsidRDefault="009669FA" w:rsidP="00532692">
      <w:pPr>
        <w:spacing w:after="120"/>
      </w:pPr>
    </w:p>
    <w:p w14:paraId="17590078" w14:textId="77777777" w:rsidR="009669FA" w:rsidRDefault="009669FA" w:rsidP="00532692">
      <w:pPr>
        <w:spacing w:after="120"/>
        <w:rPr>
          <w:b/>
          <w:sz w:val="28"/>
          <w:szCs w:val="28"/>
        </w:rPr>
      </w:pPr>
      <w:r w:rsidRPr="009669FA">
        <w:rPr>
          <w:b/>
          <w:sz w:val="28"/>
          <w:szCs w:val="28"/>
        </w:rPr>
        <w:t>Bijlage</w:t>
      </w:r>
      <w:r w:rsidR="00F37A8B">
        <w:rPr>
          <w:b/>
          <w:sz w:val="28"/>
          <w:szCs w:val="28"/>
        </w:rPr>
        <w:t xml:space="preserve"> 1</w:t>
      </w:r>
      <w:r w:rsidRPr="009669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toelichting bij het </w:t>
      </w:r>
      <w:r w:rsidR="00B62B34">
        <w:rPr>
          <w:b/>
          <w:sz w:val="28"/>
          <w:szCs w:val="28"/>
        </w:rPr>
        <w:t>maken van een financieel plan</w:t>
      </w:r>
    </w:p>
    <w:p w14:paraId="17590079" w14:textId="77777777" w:rsidR="00384AFB" w:rsidRDefault="008F45A9" w:rsidP="004D7EF1">
      <w:pPr>
        <w:spacing w:after="0"/>
      </w:pPr>
      <w:r w:rsidRPr="004D7EF1">
        <w:rPr>
          <w:b/>
        </w:rPr>
        <w:t>Algemeen</w:t>
      </w:r>
      <w:r>
        <w:t xml:space="preserve"> :  de jaarrekening ( balans, resultatenrekening en toelichtingen) zoals neergelegd bij de Nationale Bank omvat</w:t>
      </w:r>
      <w:r w:rsidR="004D7EF1">
        <w:t xml:space="preserve"> niet </w:t>
      </w:r>
      <w:r w:rsidR="00873867">
        <w:t>noodzakelijk</w:t>
      </w:r>
      <w:r w:rsidR="004D7EF1">
        <w:t xml:space="preserve"> de nodige details om </w:t>
      </w:r>
      <w:r>
        <w:t>een volledige analyse te maken in het kader van een subsidie advies.</w:t>
      </w:r>
      <w:r w:rsidR="00384AFB">
        <w:t xml:space="preserve"> Ook is e</w:t>
      </w:r>
      <w:r w:rsidR="004D7EF1">
        <w:t>lke organisatie en project uniek</w:t>
      </w:r>
      <w:r w:rsidR="00C66880">
        <w:t xml:space="preserve"> in zijn soort.</w:t>
      </w:r>
    </w:p>
    <w:p w14:paraId="1759007A" w14:textId="77777777" w:rsidR="00384AFB" w:rsidRPr="00B62B34" w:rsidRDefault="00384AFB" w:rsidP="00384AFB">
      <w:pPr>
        <w:spacing w:after="120"/>
      </w:pPr>
      <w:r>
        <w:t xml:space="preserve">Bijkomende duiding in aanvulling van de standaard submissievereisten is dan ook </w:t>
      </w:r>
      <w:r w:rsidR="00873867">
        <w:t>aan te raden</w:t>
      </w:r>
      <w:r>
        <w:t>.</w:t>
      </w:r>
    </w:p>
    <w:p w14:paraId="1759007B" w14:textId="327548DB" w:rsidR="004D7EF1" w:rsidRDefault="004D7EF1" w:rsidP="008F45A9">
      <w:pPr>
        <w:spacing w:after="120"/>
      </w:pPr>
      <w:r>
        <w:t>Wij vragen de aanvrager om de nodige zorg te besteden aan de correctheid en volledigheid van de verschille</w:t>
      </w:r>
      <w:r w:rsidR="00277729">
        <w:t>nde elementen teneinde een snel</w:t>
      </w:r>
      <w:r>
        <w:t>en volledig  financieel advies te kunnen geven.</w:t>
      </w:r>
    </w:p>
    <w:p w14:paraId="1759007C" w14:textId="77777777" w:rsidR="005170DA" w:rsidRPr="00B62B34" w:rsidRDefault="00B62B34" w:rsidP="005170DA">
      <w:pPr>
        <w:spacing w:after="120"/>
        <w:rPr>
          <w:b/>
        </w:rPr>
      </w:pPr>
      <w:r w:rsidRPr="00B62B34">
        <w:rPr>
          <w:b/>
        </w:rPr>
        <w:t>Balans</w:t>
      </w:r>
      <w:r w:rsidR="005170DA">
        <w:rPr>
          <w:b/>
        </w:rPr>
        <w:t xml:space="preserve"> + Resultatenrekening</w:t>
      </w:r>
    </w:p>
    <w:p w14:paraId="1759007D" w14:textId="77777777" w:rsidR="00B62B34" w:rsidRPr="0042667D" w:rsidRDefault="0042667D" w:rsidP="00532692">
      <w:pPr>
        <w:spacing w:after="120"/>
      </w:pPr>
      <w:r w:rsidRPr="0042667D">
        <w:t xml:space="preserve">Gevraagd wordt de </w:t>
      </w:r>
      <w:r w:rsidR="005170DA">
        <w:t>jaarrekening</w:t>
      </w:r>
      <w:r w:rsidRPr="0042667D">
        <w:t xml:space="preserve"> zoals neergelegd bij de NBB</w:t>
      </w:r>
      <w:r>
        <w:t xml:space="preserve"> of de laatst beschikbare </w:t>
      </w:r>
      <w:r w:rsidR="005170DA">
        <w:t xml:space="preserve">rekening </w:t>
      </w:r>
      <w:r>
        <w:t>goedgekeurd door de Algemene Vergadering</w:t>
      </w:r>
    </w:p>
    <w:p w14:paraId="1759007E" w14:textId="77777777" w:rsidR="005170DA" w:rsidRDefault="005170DA" w:rsidP="00532692">
      <w:pPr>
        <w:spacing w:after="120"/>
      </w:pPr>
      <w:r>
        <w:t xml:space="preserve">Extra aandacht </w:t>
      </w:r>
      <w:r w:rsidR="00873867">
        <w:t xml:space="preserve">naar volledigheid </w:t>
      </w:r>
      <w:r>
        <w:t>dient te worden besteed aan de volgende posten :</w:t>
      </w:r>
    </w:p>
    <w:p w14:paraId="1759007F" w14:textId="77777777" w:rsidR="00B070F0" w:rsidRDefault="00B070F0" w:rsidP="00B070F0">
      <w:pPr>
        <w:pStyle w:val="Lijstalinea"/>
        <w:numPr>
          <w:ilvl w:val="0"/>
          <w:numId w:val="4"/>
        </w:numPr>
        <w:spacing w:after="120"/>
      </w:pPr>
      <w:r>
        <w:t>Post 736 , het gedeelte van subsidies dat in resultaat genomen werd. Dit zijn de afschrijvingen van ontvangen subsidies welke geboekt werden onder post 15 van het passief.</w:t>
      </w:r>
    </w:p>
    <w:p w14:paraId="17590080" w14:textId="77777777" w:rsidR="00644882" w:rsidRPr="00644882" w:rsidRDefault="00644882" w:rsidP="00532692">
      <w:pPr>
        <w:spacing w:after="120"/>
        <w:rPr>
          <w:b/>
        </w:rPr>
      </w:pPr>
      <w:r w:rsidRPr="00644882">
        <w:rPr>
          <w:b/>
        </w:rPr>
        <w:t>Meerjarenplan</w:t>
      </w:r>
    </w:p>
    <w:p w14:paraId="17590081" w14:textId="77777777" w:rsidR="00713CA8" w:rsidRDefault="00713CA8" w:rsidP="00713CA8">
      <w:pPr>
        <w:spacing w:after="0"/>
      </w:pPr>
      <w:r>
        <w:t>Als rode draad bij het maken van de meerjarenplanning en cashflow prognose is het correct en volledig identificeren van de elementen welke een invloe</w:t>
      </w:r>
      <w:r w:rsidR="00C66880">
        <w:t>d hebben op de kasstromen.</w:t>
      </w:r>
    </w:p>
    <w:p w14:paraId="17590082" w14:textId="77777777" w:rsidR="00713CA8" w:rsidRDefault="00713CA8" w:rsidP="00713CA8">
      <w:pPr>
        <w:spacing w:after="120"/>
      </w:pPr>
      <w:r>
        <w:t>De volgende posten vergen extra aandacht :</w:t>
      </w:r>
    </w:p>
    <w:p w14:paraId="17590083" w14:textId="77777777" w:rsidR="00713CA8" w:rsidRDefault="00713CA8" w:rsidP="00713CA8">
      <w:pPr>
        <w:pStyle w:val="Lijstalinea"/>
        <w:numPr>
          <w:ilvl w:val="0"/>
          <w:numId w:val="2"/>
        </w:numPr>
        <w:spacing w:after="120"/>
      </w:pPr>
      <w:r>
        <w:t>Post 73 ( Lidgelden, legaten en subsidies )</w:t>
      </w:r>
      <w:r w:rsidR="00B070F0">
        <w:t xml:space="preserve"> , zie supra</w:t>
      </w:r>
    </w:p>
    <w:p w14:paraId="17590084" w14:textId="77777777" w:rsidR="00713CA8" w:rsidRDefault="00713CA8" w:rsidP="00713CA8">
      <w:pPr>
        <w:pStyle w:val="Lijstalinea"/>
        <w:spacing w:after="120"/>
      </w:pPr>
      <w:r>
        <w:t>Onderscheid dient worden gemaakt tussen lopende, het nieuwe en toekomstige projecten</w:t>
      </w:r>
    </w:p>
    <w:p w14:paraId="17590085" w14:textId="77777777" w:rsidR="00713CA8" w:rsidRDefault="00713CA8" w:rsidP="00713CA8">
      <w:pPr>
        <w:pStyle w:val="Lijstalinea"/>
        <w:numPr>
          <w:ilvl w:val="0"/>
          <w:numId w:val="2"/>
        </w:numPr>
        <w:spacing w:after="120"/>
      </w:pPr>
      <w:r>
        <w:t>Post 650 ( Financiële kosten) : het intrestgedeelte van huidige en toekomstige leningen</w:t>
      </w:r>
    </w:p>
    <w:p w14:paraId="17590086" w14:textId="77777777" w:rsidR="00713CA8" w:rsidRDefault="00713CA8" w:rsidP="00713CA8">
      <w:pPr>
        <w:pStyle w:val="Lijstalinea"/>
        <w:numPr>
          <w:ilvl w:val="0"/>
          <w:numId w:val="2"/>
        </w:numPr>
        <w:spacing w:after="120"/>
      </w:pPr>
      <w:r>
        <w:t xml:space="preserve">Post 66/76 ( Uitzonderlijke kosten /opbrengsten) : vooral van belang wanneer financiering gebeurt door verkoop van activa. Hier dient enkel het verschil tussen verkoopprijs en boekwaarde gepresenteerd te worden. </w:t>
      </w:r>
    </w:p>
    <w:p w14:paraId="17590087" w14:textId="77777777" w:rsidR="00B62B34" w:rsidRDefault="0087077D" w:rsidP="00532692">
      <w:pPr>
        <w:spacing w:after="120"/>
      </w:pPr>
      <w:r>
        <w:t xml:space="preserve">Elementen </w:t>
      </w:r>
      <w:r w:rsidR="00BC7933">
        <w:t xml:space="preserve">waarmee </w:t>
      </w:r>
      <w:r>
        <w:t>rekening te houden bij i</w:t>
      </w:r>
      <w:r w:rsidR="00B62B34">
        <w:t xml:space="preserve">nschatting van </w:t>
      </w:r>
      <w:r w:rsidR="00644882">
        <w:t xml:space="preserve">toekomstige </w:t>
      </w:r>
      <w:r w:rsidR="00B62B34">
        <w:t>kosten en opbrengsten</w:t>
      </w:r>
      <w:r w:rsidR="00644882">
        <w:t>.</w:t>
      </w:r>
    </w:p>
    <w:p w14:paraId="17590088" w14:textId="77777777" w:rsidR="00384AFB" w:rsidRDefault="00384AFB" w:rsidP="00384AFB">
      <w:pPr>
        <w:pStyle w:val="Lijstalinea"/>
        <w:numPr>
          <w:ilvl w:val="0"/>
          <w:numId w:val="1"/>
        </w:numPr>
        <w:spacing w:after="120"/>
      </w:pPr>
      <w:r>
        <w:t>Consistentie tussen werkingsopbrengsten en –</w:t>
      </w:r>
      <w:r w:rsidR="004720E7">
        <w:t xml:space="preserve"> </w:t>
      </w:r>
      <w:r>
        <w:t>kosten over d</w:t>
      </w:r>
      <w:r w:rsidR="004720E7">
        <w:t>e jaren heen. Beiden zouden op termijn met een gelijke tred moeten evolueren.</w:t>
      </w:r>
    </w:p>
    <w:p w14:paraId="17590089" w14:textId="77777777" w:rsidR="004720E7" w:rsidRDefault="004720E7" w:rsidP="004720E7">
      <w:pPr>
        <w:pStyle w:val="Lijstalinea"/>
        <w:numPr>
          <w:ilvl w:val="0"/>
          <w:numId w:val="1"/>
        </w:numPr>
        <w:spacing w:after="120"/>
      </w:pPr>
      <w:r>
        <w:t>Verschil in timing tussen gemaakte kosten en gerelateerde opbrengsten bij uitbreiding</w:t>
      </w:r>
      <w:r w:rsidR="00892F9D">
        <w:t xml:space="preserve"> </w:t>
      </w:r>
      <w:r w:rsidR="00873867">
        <w:t xml:space="preserve">van de activiteiten </w:t>
      </w:r>
      <w:r w:rsidR="00892F9D">
        <w:t xml:space="preserve">( vb bijkomende toelagen voor personeel wordt later uitgekeerd dan </w:t>
      </w:r>
      <w:r w:rsidR="00873867">
        <w:t xml:space="preserve">de </w:t>
      </w:r>
      <w:r w:rsidR="00BC7933">
        <w:t>datum van in</w:t>
      </w:r>
      <w:r w:rsidR="00892F9D">
        <w:t>diensttreding )</w:t>
      </w:r>
    </w:p>
    <w:p w14:paraId="1759008A" w14:textId="77777777" w:rsidR="00644882" w:rsidRDefault="00384AFB" w:rsidP="00644882">
      <w:pPr>
        <w:pStyle w:val="Lijstalinea"/>
        <w:numPr>
          <w:ilvl w:val="0"/>
          <w:numId w:val="1"/>
        </w:numPr>
        <w:spacing w:after="120"/>
      </w:pPr>
      <w:r>
        <w:t xml:space="preserve">Invloed van de </w:t>
      </w:r>
      <w:r w:rsidR="00644882">
        <w:t xml:space="preserve">inflatie / indexering </w:t>
      </w:r>
      <w:r>
        <w:t>op de</w:t>
      </w:r>
      <w:r w:rsidR="00644882">
        <w:t xml:space="preserve"> kosten</w:t>
      </w:r>
    </w:p>
    <w:p w14:paraId="1759008B" w14:textId="77777777" w:rsidR="00644882" w:rsidRDefault="00644882" w:rsidP="00644882">
      <w:pPr>
        <w:pStyle w:val="Lijstalinea"/>
        <w:numPr>
          <w:ilvl w:val="0"/>
          <w:numId w:val="1"/>
        </w:numPr>
        <w:spacing w:after="120"/>
      </w:pPr>
      <w:r>
        <w:t xml:space="preserve">Bijkomende kosten </w:t>
      </w:r>
      <w:r w:rsidR="00384AFB">
        <w:t xml:space="preserve">of accentverschuivingen </w:t>
      </w:r>
      <w:r>
        <w:t xml:space="preserve">bij uitbreiding </w:t>
      </w:r>
      <w:r w:rsidR="00BC7933">
        <w:t>activiteiten</w:t>
      </w:r>
      <w:r w:rsidR="00873867">
        <w:t xml:space="preserve"> </w:t>
      </w:r>
      <w:r>
        <w:t>( verwarming, elektriciteit, onderhoud,</w:t>
      </w:r>
      <w:r w:rsidR="0087077D">
        <w:t xml:space="preserve"> </w:t>
      </w:r>
      <w:r>
        <w:t>ve</w:t>
      </w:r>
      <w:r w:rsidR="0087077D">
        <w:t>r</w:t>
      </w:r>
      <w:r>
        <w:t>zekeringen</w:t>
      </w:r>
      <w:r w:rsidR="00873867">
        <w:t>, afschrijvingen</w:t>
      </w:r>
      <w:r>
        <w:t>…)</w:t>
      </w:r>
    </w:p>
    <w:p w14:paraId="1759008C" w14:textId="77777777" w:rsidR="00BC7933" w:rsidRDefault="00BC7933" w:rsidP="00644882">
      <w:pPr>
        <w:pStyle w:val="Lijstalinea"/>
        <w:numPr>
          <w:ilvl w:val="0"/>
          <w:numId w:val="1"/>
        </w:numPr>
        <w:spacing w:after="120"/>
      </w:pPr>
      <w:r>
        <w:t>Eenmalige kosten ( verhuis, inrichting, enz…)</w:t>
      </w:r>
    </w:p>
    <w:p w14:paraId="1759008D" w14:textId="77777777" w:rsidR="00BC7933" w:rsidRDefault="00BC7933" w:rsidP="00BC7933">
      <w:pPr>
        <w:spacing w:after="120"/>
        <w:ind w:left="360"/>
      </w:pPr>
      <w:r>
        <w:t>…</w:t>
      </w:r>
    </w:p>
    <w:p w14:paraId="1759008E" w14:textId="77777777" w:rsidR="003801BF" w:rsidRDefault="003801BF" w:rsidP="004720E7">
      <w:pPr>
        <w:spacing w:after="120"/>
        <w:rPr>
          <w:b/>
        </w:rPr>
      </w:pPr>
    </w:p>
    <w:p w14:paraId="1759008F" w14:textId="77777777" w:rsidR="003801BF" w:rsidRDefault="003801BF" w:rsidP="004720E7">
      <w:pPr>
        <w:spacing w:after="120"/>
        <w:rPr>
          <w:b/>
        </w:rPr>
      </w:pPr>
    </w:p>
    <w:p w14:paraId="17590090" w14:textId="77777777" w:rsidR="00873867" w:rsidRDefault="00873867" w:rsidP="004720E7">
      <w:pPr>
        <w:spacing w:after="120"/>
        <w:rPr>
          <w:b/>
        </w:rPr>
      </w:pPr>
    </w:p>
    <w:p w14:paraId="17590091" w14:textId="77777777" w:rsidR="003801BF" w:rsidRDefault="003801BF" w:rsidP="004720E7">
      <w:pPr>
        <w:spacing w:after="120"/>
        <w:rPr>
          <w:b/>
        </w:rPr>
      </w:pPr>
    </w:p>
    <w:p w14:paraId="17590092" w14:textId="77777777" w:rsidR="004720E7" w:rsidRPr="00713CA8" w:rsidRDefault="00713CA8" w:rsidP="004720E7">
      <w:pPr>
        <w:spacing w:after="120"/>
        <w:rPr>
          <w:b/>
        </w:rPr>
      </w:pPr>
      <w:r w:rsidRPr="00713CA8">
        <w:rPr>
          <w:b/>
        </w:rPr>
        <w:lastRenderedPageBreak/>
        <w:t>Cashflow en liquiditeitsplanning</w:t>
      </w:r>
    </w:p>
    <w:p w14:paraId="17590093" w14:textId="77777777" w:rsidR="00BC7933" w:rsidRDefault="00713CA8" w:rsidP="00BC7933">
      <w:pPr>
        <w:spacing w:after="0"/>
      </w:pPr>
      <w:r>
        <w:t xml:space="preserve">De </w:t>
      </w:r>
      <w:r w:rsidRPr="007C5F43">
        <w:rPr>
          <w:u w:val="single"/>
        </w:rPr>
        <w:t>uitgebreide cashflow</w:t>
      </w:r>
      <w:r>
        <w:t xml:space="preserve"> is </w:t>
      </w:r>
      <w:r w:rsidR="00A51A50">
        <w:t xml:space="preserve">automatisch </w:t>
      </w:r>
      <w:r>
        <w:t xml:space="preserve">gelinkt met </w:t>
      </w:r>
      <w:r w:rsidR="00BC7933">
        <w:t>resultatenrekening.</w:t>
      </w:r>
    </w:p>
    <w:p w14:paraId="17590094" w14:textId="77777777" w:rsidR="00A51A50" w:rsidRDefault="00A51A50" w:rsidP="00BC7933">
      <w:pPr>
        <w:spacing w:after="0"/>
      </w:pPr>
      <w:r>
        <w:t>De volgende kasstromen dienen apart te worden ingegeven daar deze niet tot uiting komen in de resultaten</w:t>
      </w:r>
    </w:p>
    <w:p w14:paraId="17590095" w14:textId="77777777" w:rsidR="00A51A50" w:rsidRDefault="00A51A50" w:rsidP="00A51A50">
      <w:pPr>
        <w:pStyle w:val="Lijstalinea"/>
        <w:numPr>
          <w:ilvl w:val="0"/>
          <w:numId w:val="3"/>
        </w:numPr>
        <w:spacing w:after="120"/>
      </w:pPr>
      <w:r>
        <w:t xml:space="preserve">Ontvangen gebruikstoelagen voor alternatieve financiering </w:t>
      </w:r>
    </w:p>
    <w:p w14:paraId="17590096" w14:textId="77777777" w:rsidR="00A51A50" w:rsidRDefault="00A51A50" w:rsidP="00A51A50">
      <w:pPr>
        <w:pStyle w:val="Lijstalinea"/>
        <w:numPr>
          <w:ilvl w:val="0"/>
          <w:numId w:val="3"/>
        </w:numPr>
        <w:spacing w:after="120"/>
      </w:pPr>
      <w:r w:rsidRPr="007C5F43">
        <w:t>Kapitaals</w:t>
      </w:r>
      <w:r>
        <w:t xml:space="preserve">aflossingen van lopende en toekomstige investeringsprojecten </w:t>
      </w:r>
    </w:p>
    <w:p w14:paraId="17590097" w14:textId="77777777" w:rsidR="00661F47" w:rsidRDefault="007C5F43" w:rsidP="007C5F43">
      <w:pPr>
        <w:spacing w:after="0"/>
      </w:pPr>
      <w:r>
        <w:t>Bij d</w:t>
      </w:r>
      <w:r w:rsidR="00CF3878">
        <w:t>e</w:t>
      </w:r>
      <w:r w:rsidR="00CF3878" w:rsidRPr="007C5F43">
        <w:rPr>
          <w:u w:val="single"/>
        </w:rPr>
        <w:t xml:space="preserve"> liquiditeitsplanning</w:t>
      </w:r>
      <w:r>
        <w:t xml:space="preserve"> is het v</w:t>
      </w:r>
      <w:r w:rsidR="00661F47">
        <w:t>ertre</w:t>
      </w:r>
      <w:r>
        <w:t xml:space="preserve">kpunt </w:t>
      </w:r>
      <w:r w:rsidR="00661F47">
        <w:t xml:space="preserve">de uitgebreide cashflow na aflossingen. </w:t>
      </w:r>
    </w:p>
    <w:p w14:paraId="17590098" w14:textId="77777777" w:rsidR="007C5F43" w:rsidRDefault="007C5F43" w:rsidP="007C5F43">
      <w:pPr>
        <w:spacing w:after="0"/>
      </w:pPr>
      <w:r>
        <w:t>Onder</w:t>
      </w:r>
      <w:r w:rsidR="00661F47">
        <w:t xml:space="preserve"> “Kasstromen investering”</w:t>
      </w:r>
      <w:r>
        <w:t xml:space="preserve"> </w:t>
      </w:r>
      <w:r w:rsidR="00661F47">
        <w:t xml:space="preserve">worden de bedragen voor zowel lopende als toekomstige investeringen gevraagd. </w:t>
      </w:r>
    </w:p>
    <w:p w14:paraId="17590099" w14:textId="77777777" w:rsidR="007C5F43" w:rsidRDefault="007C5F43" w:rsidP="007C5F43">
      <w:pPr>
        <w:spacing w:after="0"/>
      </w:pPr>
      <w:r>
        <w:t>Indien de financiering deels gebeurt door verkoop van eigen activa, dient onder  “Ten gelde gemaakte activa” enkel de boekwaarde te worden opgegeven</w:t>
      </w:r>
      <w:r w:rsidR="00873867">
        <w:t>. De</w:t>
      </w:r>
      <w:r>
        <w:t xml:space="preserve"> meer- of minderwaarde </w:t>
      </w:r>
      <w:r w:rsidR="00873867">
        <w:t xml:space="preserve">werd </w:t>
      </w:r>
      <w:r>
        <w:t>reeds in de resultaten werd verwerkt in de meerjarenplanning. Beiden dienen in hetzelfde jaar te worden gepresenteerd.</w:t>
      </w:r>
    </w:p>
    <w:p w14:paraId="1759009A" w14:textId="77777777" w:rsidR="00C66880" w:rsidRDefault="00C66880" w:rsidP="004720E7">
      <w:pPr>
        <w:spacing w:after="120"/>
      </w:pPr>
    </w:p>
    <w:sectPr w:rsidR="00C66880" w:rsidSect="003801BF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730F"/>
    <w:multiLevelType w:val="hybridMultilevel"/>
    <w:tmpl w:val="BA1423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1C31"/>
    <w:multiLevelType w:val="hybridMultilevel"/>
    <w:tmpl w:val="529A56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57C56"/>
    <w:multiLevelType w:val="hybridMultilevel"/>
    <w:tmpl w:val="6E2C1E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86B52"/>
    <w:multiLevelType w:val="hybridMultilevel"/>
    <w:tmpl w:val="401609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25"/>
    <w:rsid w:val="00094551"/>
    <w:rsid w:val="000B4651"/>
    <w:rsid w:val="000C3D23"/>
    <w:rsid w:val="000C4C4F"/>
    <w:rsid w:val="00246689"/>
    <w:rsid w:val="00277729"/>
    <w:rsid w:val="00280A14"/>
    <w:rsid w:val="002979CD"/>
    <w:rsid w:val="002D1C13"/>
    <w:rsid w:val="003801BF"/>
    <w:rsid w:val="00384AFB"/>
    <w:rsid w:val="00390147"/>
    <w:rsid w:val="004200CA"/>
    <w:rsid w:val="0042667D"/>
    <w:rsid w:val="004720E7"/>
    <w:rsid w:val="00474725"/>
    <w:rsid w:val="004C17DF"/>
    <w:rsid w:val="004D7EF1"/>
    <w:rsid w:val="004F7AA0"/>
    <w:rsid w:val="005170DA"/>
    <w:rsid w:val="00532692"/>
    <w:rsid w:val="005619C0"/>
    <w:rsid w:val="0058003B"/>
    <w:rsid w:val="005B33B0"/>
    <w:rsid w:val="00641272"/>
    <w:rsid w:val="00644882"/>
    <w:rsid w:val="00661F47"/>
    <w:rsid w:val="00713CA8"/>
    <w:rsid w:val="007C5F43"/>
    <w:rsid w:val="0087077D"/>
    <w:rsid w:val="00873867"/>
    <w:rsid w:val="00892F9D"/>
    <w:rsid w:val="008F45A9"/>
    <w:rsid w:val="009669FA"/>
    <w:rsid w:val="009A3DFA"/>
    <w:rsid w:val="00A51A50"/>
    <w:rsid w:val="00A550AC"/>
    <w:rsid w:val="00A95FB8"/>
    <w:rsid w:val="00AC4265"/>
    <w:rsid w:val="00B070F0"/>
    <w:rsid w:val="00B15AB4"/>
    <w:rsid w:val="00B2213A"/>
    <w:rsid w:val="00B62B34"/>
    <w:rsid w:val="00B8696B"/>
    <w:rsid w:val="00BC7933"/>
    <w:rsid w:val="00C66880"/>
    <w:rsid w:val="00CF3878"/>
    <w:rsid w:val="00E94D2F"/>
    <w:rsid w:val="00EC0E2B"/>
    <w:rsid w:val="00F241C5"/>
    <w:rsid w:val="00F37A8B"/>
    <w:rsid w:val="00F53582"/>
    <w:rsid w:val="00F71528"/>
    <w:rsid w:val="00F94683"/>
    <w:rsid w:val="00F94EAD"/>
    <w:rsid w:val="00FA2428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0052"/>
  <w15:chartTrackingRefBased/>
  <w15:docId w15:val="{54CE7F0F-AD75-4855-8775-03E78EDB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E2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4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B4EC3C26B034AA04AFEC89B98A9E5" ma:contentTypeVersion="2" ma:contentTypeDescription="Een nieuw document maken." ma:contentTypeScope="" ma:versionID="e703b2f5de68f600887cfc5bd579df0c">
  <xsd:schema xmlns:xsd="http://www.w3.org/2001/XMLSchema" xmlns:xs="http://www.w3.org/2001/XMLSchema" xmlns:p="http://schemas.microsoft.com/office/2006/metadata/properties" xmlns:ns2="3f444a5e-8a5b-472c-bf48-f8635f09995f" targetNamespace="http://schemas.microsoft.com/office/2006/metadata/properties" ma:root="true" ma:fieldsID="caaa501ec95bc9822f2584dbbc8a4545" ns2:_="">
    <xsd:import namespace="3f444a5e-8a5b-472c-bf48-f8635f0999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44a5e-8a5b-472c-bf48-f8635f09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8E35-FB55-4CE8-A113-0903AAE34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44a5e-8a5b-472c-bf48-f8635f099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4BF62-C4D1-48D0-8452-4E58580777A7}">
  <ds:schemaRefs>
    <ds:schemaRef ds:uri="http://schemas.microsoft.com/office/2006/metadata/properties"/>
    <ds:schemaRef ds:uri="3f444a5e-8a5b-472c-bf48-f8635f09995f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BFDFC3-220C-4352-BBAC-76A624BE8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D261B-92C2-42E1-B049-A18D76E2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Deserranno Yvo</dc:creator>
  <cp:keywords/>
  <dc:description/>
  <cp:lastModifiedBy>Deserranno Yvo</cp:lastModifiedBy>
  <cp:revision>2</cp:revision>
  <cp:lastPrinted>2017-06-15T14:56:00Z</cp:lastPrinted>
  <dcterms:created xsi:type="dcterms:W3CDTF">2017-06-29T07:37:00Z</dcterms:created>
  <dcterms:modified xsi:type="dcterms:W3CDTF">2017-06-29T07:37:00Z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0x010100BD3B4EC3C26B034AA04AFEC89B98A9E5</vt:lpwstr>
  </property>
</Properties>
</file>